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DDB" w:rsidRPr="00C15D4F" w:rsidRDefault="006D6DDB" w:rsidP="006D6DDB">
      <w:pPr>
        <w:jc w:val="center"/>
        <w:rPr>
          <w:b/>
          <w:sz w:val="44"/>
        </w:rPr>
      </w:pPr>
      <w:r w:rsidRPr="00C15D4F">
        <w:rPr>
          <w:b/>
          <w:sz w:val="44"/>
        </w:rPr>
        <w:t xml:space="preserve">Overview of national rules on </w:t>
      </w:r>
    </w:p>
    <w:p w:rsidR="002610AC" w:rsidRDefault="006D6DDB" w:rsidP="006D6DDB">
      <w:pPr>
        <w:jc w:val="center"/>
        <w:rPr>
          <w:b/>
          <w:sz w:val="44"/>
        </w:rPr>
      </w:pPr>
      <w:r w:rsidRPr="00C15D4F">
        <w:rPr>
          <w:b/>
          <w:sz w:val="44"/>
          <w:u w:val="single"/>
        </w:rPr>
        <w:t>mandatory</w:t>
      </w:r>
      <w:r w:rsidRPr="00C15D4F">
        <w:rPr>
          <w:b/>
          <w:sz w:val="44"/>
        </w:rPr>
        <w:t xml:space="preserve"> country of origin labelling</w:t>
      </w:r>
    </w:p>
    <w:p w:rsidR="00E37FF6" w:rsidRDefault="00E37FF6" w:rsidP="006D6DDB">
      <w:pPr>
        <w:jc w:val="center"/>
        <w:rPr>
          <w:b/>
          <w:sz w:val="44"/>
        </w:rPr>
      </w:pPr>
    </w:p>
    <w:p w:rsidR="003318C5" w:rsidRDefault="00FE1230" w:rsidP="006D6DDB">
      <w:pPr>
        <w:jc w:val="center"/>
        <w:rPr>
          <w:color w:val="FF0000"/>
          <w:sz w:val="32"/>
          <w:szCs w:val="32"/>
        </w:rPr>
      </w:pPr>
      <w:r>
        <w:rPr>
          <w:color w:val="FF0000"/>
          <w:sz w:val="32"/>
          <w:szCs w:val="32"/>
        </w:rPr>
        <w:t>Last update: 25</w:t>
      </w:r>
      <w:r w:rsidR="002017D9">
        <w:rPr>
          <w:color w:val="FF0000"/>
          <w:sz w:val="32"/>
          <w:szCs w:val="32"/>
        </w:rPr>
        <w:t xml:space="preserve"> April</w:t>
      </w:r>
      <w:r w:rsidR="00744D08">
        <w:rPr>
          <w:color w:val="FF0000"/>
          <w:sz w:val="32"/>
          <w:szCs w:val="32"/>
        </w:rPr>
        <w:t xml:space="preserve"> 2017</w:t>
      </w:r>
      <w:r w:rsidR="00DF12D4">
        <w:rPr>
          <w:color w:val="FF0000"/>
          <w:sz w:val="32"/>
          <w:szCs w:val="32"/>
        </w:rPr>
        <w:t xml:space="preserve"> (updates in red)</w:t>
      </w:r>
    </w:p>
    <w:p w:rsidR="00E37FF6" w:rsidRPr="00E37FF6" w:rsidRDefault="00E37FF6" w:rsidP="006D6DDB">
      <w:pPr>
        <w:jc w:val="center"/>
        <w:rPr>
          <w:color w:val="FF0000"/>
          <w:sz w:val="32"/>
          <w:szCs w:val="32"/>
        </w:rPr>
      </w:pPr>
    </w:p>
    <w:p w:rsidR="006D6DDB" w:rsidRPr="001C25AA" w:rsidRDefault="006D6DDB" w:rsidP="00A76012">
      <w:pPr>
        <w:jc w:val="center"/>
        <w:rPr>
          <w:sz w:val="24"/>
          <w:szCs w:val="24"/>
          <w:u w:val="single"/>
        </w:rPr>
      </w:pPr>
    </w:p>
    <w:tbl>
      <w:tblPr>
        <w:tblStyle w:val="TableGrid"/>
        <w:tblW w:w="5000" w:type="pct"/>
        <w:tblLook w:val="04A0" w:firstRow="1" w:lastRow="0" w:firstColumn="1" w:lastColumn="0" w:noHBand="0" w:noVBand="1"/>
      </w:tblPr>
      <w:tblGrid>
        <w:gridCol w:w="1065"/>
        <w:gridCol w:w="1103"/>
        <w:gridCol w:w="2682"/>
        <w:gridCol w:w="1871"/>
        <w:gridCol w:w="1154"/>
        <w:gridCol w:w="3127"/>
        <w:gridCol w:w="3172"/>
      </w:tblGrid>
      <w:tr w:rsidR="007D33A0" w:rsidTr="00417894">
        <w:tc>
          <w:tcPr>
            <w:tcW w:w="376" w:type="pct"/>
            <w:tcBorders>
              <w:bottom w:val="single" w:sz="4" w:space="0" w:color="auto"/>
            </w:tcBorders>
            <w:shd w:val="clear" w:color="auto" w:fill="9CC2E5" w:themeFill="accent1" w:themeFillTint="99"/>
          </w:tcPr>
          <w:p w:rsidR="00C05FB2" w:rsidRPr="006D6DDB" w:rsidRDefault="00C05FB2" w:rsidP="00C05FB2">
            <w:pPr>
              <w:rPr>
                <w:b/>
              </w:rPr>
            </w:pPr>
            <w:r w:rsidRPr="006D6DDB">
              <w:rPr>
                <w:b/>
              </w:rPr>
              <w:t>Country</w:t>
            </w:r>
          </w:p>
        </w:tc>
        <w:tc>
          <w:tcPr>
            <w:tcW w:w="389" w:type="pct"/>
            <w:shd w:val="clear" w:color="auto" w:fill="9CC2E5" w:themeFill="accent1" w:themeFillTint="99"/>
          </w:tcPr>
          <w:p w:rsidR="00C05FB2" w:rsidRPr="006D6DDB" w:rsidRDefault="00C05FB2" w:rsidP="00C05FB2">
            <w:pPr>
              <w:rPr>
                <w:b/>
              </w:rPr>
            </w:pPr>
            <w:r>
              <w:rPr>
                <w:b/>
              </w:rPr>
              <w:t>Scope</w:t>
            </w:r>
          </w:p>
        </w:tc>
        <w:tc>
          <w:tcPr>
            <w:tcW w:w="946" w:type="pct"/>
            <w:shd w:val="clear" w:color="auto" w:fill="9CC2E5" w:themeFill="accent1" w:themeFillTint="99"/>
          </w:tcPr>
          <w:p w:rsidR="00C05FB2" w:rsidRPr="006D6DDB" w:rsidRDefault="00C05FB2" w:rsidP="00C05FB2">
            <w:pPr>
              <w:rPr>
                <w:b/>
              </w:rPr>
            </w:pPr>
            <w:r>
              <w:rPr>
                <w:b/>
              </w:rPr>
              <w:t>Description</w:t>
            </w:r>
          </w:p>
        </w:tc>
        <w:tc>
          <w:tcPr>
            <w:tcW w:w="660" w:type="pct"/>
            <w:shd w:val="clear" w:color="auto" w:fill="9CC2E5" w:themeFill="accent1" w:themeFillTint="99"/>
          </w:tcPr>
          <w:p w:rsidR="0092476B" w:rsidRPr="006D6DDB" w:rsidRDefault="0092476B" w:rsidP="00737374">
            <w:pPr>
              <w:rPr>
                <w:b/>
              </w:rPr>
            </w:pPr>
            <w:r>
              <w:rPr>
                <w:b/>
              </w:rPr>
              <w:t xml:space="preserve">Notification </w:t>
            </w:r>
            <w:r w:rsidR="00737374">
              <w:rPr>
                <w:b/>
              </w:rPr>
              <w:t>date</w:t>
            </w:r>
          </w:p>
        </w:tc>
        <w:tc>
          <w:tcPr>
            <w:tcW w:w="407" w:type="pct"/>
            <w:shd w:val="clear" w:color="auto" w:fill="9CC2E5" w:themeFill="accent1" w:themeFillTint="99"/>
          </w:tcPr>
          <w:p w:rsidR="00C05FB2" w:rsidRDefault="00C05FB2" w:rsidP="00C05FB2">
            <w:pPr>
              <w:rPr>
                <w:b/>
              </w:rPr>
            </w:pPr>
            <w:r>
              <w:rPr>
                <w:b/>
              </w:rPr>
              <w:t>Entry into force</w:t>
            </w:r>
          </w:p>
        </w:tc>
        <w:tc>
          <w:tcPr>
            <w:tcW w:w="1103" w:type="pct"/>
            <w:shd w:val="clear" w:color="auto" w:fill="9CC2E5" w:themeFill="accent1" w:themeFillTint="99"/>
          </w:tcPr>
          <w:p w:rsidR="00C05FB2" w:rsidRPr="006D6DDB" w:rsidRDefault="00C05FB2" w:rsidP="00C05FB2">
            <w:pPr>
              <w:ind w:right="1941"/>
              <w:rPr>
                <w:b/>
              </w:rPr>
            </w:pPr>
            <w:r>
              <w:rPr>
                <w:b/>
              </w:rPr>
              <w:t>Additional info</w:t>
            </w:r>
          </w:p>
        </w:tc>
        <w:tc>
          <w:tcPr>
            <w:tcW w:w="1119" w:type="pct"/>
            <w:tcBorders>
              <w:top w:val="single" w:sz="4" w:space="0" w:color="auto"/>
              <w:left w:val="single" w:sz="4" w:space="0" w:color="auto"/>
              <w:bottom w:val="single" w:sz="4" w:space="0" w:color="auto"/>
              <w:right w:val="single" w:sz="4" w:space="0" w:color="auto"/>
            </w:tcBorders>
            <w:shd w:val="clear" w:color="auto" w:fill="9CC2E5" w:themeFill="accent1" w:themeFillTint="99"/>
          </w:tcPr>
          <w:p w:rsidR="00C05FB2" w:rsidRDefault="00C05FB2" w:rsidP="00C05FB2">
            <w:pPr>
              <w:ind w:right="34"/>
              <w:rPr>
                <w:b/>
              </w:rPr>
            </w:pPr>
            <w:r>
              <w:rPr>
                <w:b/>
              </w:rPr>
              <w:t>FoodDrinkEurope comments</w:t>
            </w:r>
          </w:p>
        </w:tc>
      </w:tr>
      <w:tr w:rsidR="002017D9" w:rsidRPr="00AB27B4" w:rsidTr="00417894">
        <w:tc>
          <w:tcPr>
            <w:tcW w:w="376" w:type="pct"/>
            <w:shd w:val="clear" w:color="auto" w:fill="DEEAF6" w:themeFill="accent1" w:themeFillTint="33"/>
          </w:tcPr>
          <w:p w:rsidR="002017D9" w:rsidRDefault="002017D9" w:rsidP="002017D9">
            <w:pPr>
              <w:rPr>
                <w:b/>
                <w:szCs w:val="20"/>
              </w:rPr>
            </w:pPr>
            <w:r>
              <w:rPr>
                <w:b/>
                <w:szCs w:val="20"/>
              </w:rPr>
              <w:t>Italy</w:t>
            </w:r>
          </w:p>
          <w:p w:rsidR="002017D9" w:rsidRDefault="002017D9" w:rsidP="00C05FB2">
            <w:pPr>
              <w:rPr>
                <w:b/>
                <w:szCs w:val="20"/>
              </w:rPr>
            </w:pPr>
          </w:p>
        </w:tc>
        <w:tc>
          <w:tcPr>
            <w:tcW w:w="389" w:type="pct"/>
          </w:tcPr>
          <w:p w:rsidR="002017D9" w:rsidRPr="00FE1230" w:rsidRDefault="002017D9" w:rsidP="00C05FB2">
            <w:pPr>
              <w:rPr>
                <w:sz w:val="20"/>
                <w:szCs w:val="20"/>
              </w:rPr>
            </w:pPr>
            <w:r w:rsidRPr="00FE1230">
              <w:rPr>
                <w:sz w:val="20"/>
                <w:szCs w:val="20"/>
              </w:rPr>
              <w:t xml:space="preserve">Rice </w:t>
            </w:r>
          </w:p>
        </w:tc>
        <w:tc>
          <w:tcPr>
            <w:tcW w:w="946" w:type="pct"/>
          </w:tcPr>
          <w:p w:rsidR="002017D9" w:rsidRPr="00FE1230" w:rsidRDefault="002017D9" w:rsidP="00F42401">
            <w:pPr>
              <w:rPr>
                <w:sz w:val="20"/>
                <w:szCs w:val="20"/>
              </w:rPr>
            </w:pPr>
            <w:r w:rsidRPr="00FE1230">
              <w:rPr>
                <w:sz w:val="20"/>
                <w:szCs w:val="20"/>
              </w:rPr>
              <w:t xml:space="preserve">It is understood that Italy has started working at a decree on mandatory origin labelling for rice. </w:t>
            </w:r>
          </w:p>
          <w:p w:rsidR="002017D9" w:rsidRPr="00FE1230" w:rsidRDefault="002017D9" w:rsidP="00F42401">
            <w:pPr>
              <w:rPr>
                <w:sz w:val="20"/>
                <w:szCs w:val="20"/>
              </w:rPr>
            </w:pPr>
          </w:p>
        </w:tc>
        <w:tc>
          <w:tcPr>
            <w:tcW w:w="660" w:type="pct"/>
          </w:tcPr>
          <w:p w:rsidR="002017D9" w:rsidRDefault="002017D9" w:rsidP="00C05FB2">
            <w:pPr>
              <w:rPr>
                <w:sz w:val="20"/>
                <w:szCs w:val="20"/>
              </w:rPr>
            </w:pPr>
          </w:p>
        </w:tc>
        <w:tc>
          <w:tcPr>
            <w:tcW w:w="407" w:type="pct"/>
          </w:tcPr>
          <w:p w:rsidR="002017D9" w:rsidRDefault="002017D9" w:rsidP="00C05FB2">
            <w:pPr>
              <w:rPr>
                <w:sz w:val="20"/>
                <w:szCs w:val="20"/>
              </w:rPr>
            </w:pPr>
          </w:p>
        </w:tc>
        <w:tc>
          <w:tcPr>
            <w:tcW w:w="1103" w:type="pct"/>
          </w:tcPr>
          <w:p w:rsidR="002017D9" w:rsidRDefault="002017D9" w:rsidP="006C1D05">
            <w:pPr>
              <w:rPr>
                <w:sz w:val="20"/>
                <w:szCs w:val="20"/>
              </w:rPr>
            </w:pPr>
          </w:p>
        </w:tc>
        <w:tc>
          <w:tcPr>
            <w:tcW w:w="1119" w:type="pct"/>
            <w:tcBorders>
              <w:top w:val="single" w:sz="4" w:space="0" w:color="auto"/>
              <w:left w:val="single" w:sz="4" w:space="0" w:color="auto"/>
              <w:bottom w:val="single" w:sz="4" w:space="0" w:color="auto"/>
              <w:right w:val="single" w:sz="4" w:space="0" w:color="auto"/>
            </w:tcBorders>
          </w:tcPr>
          <w:p w:rsidR="002017D9" w:rsidRDefault="002017D9" w:rsidP="00C05FB2">
            <w:pPr>
              <w:rPr>
                <w:sz w:val="20"/>
                <w:szCs w:val="20"/>
              </w:rPr>
            </w:pPr>
          </w:p>
        </w:tc>
      </w:tr>
      <w:tr w:rsidR="007D33A0" w:rsidRPr="00AB27B4" w:rsidTr="00417894">
        <w:tc>
          <w:tcPr>
            <w:tcW w:w="376" w:type="pct"/>
            <w:shd w:val="clear" w:color="auto" w:fill="DEEAF6" w:themeFill="accent1" w:themeFillTint="33"/>
          </w:tcPr>
          <w:p w:rsidR="007D33A0" w:rsidRDefault="007D33A0" w:rsidP="00C05FB2">
            <w:pPr>
              <w:rPr>
                <w:b/>
                <w:szCs w:val="20"/>
              </w:rPr>
            </w:pPr>
            <w:r>
              <w:rPr>
                <w:b/>
                <w:szCs w:val="20"/>
              </w:rPr>
              <w:t>Spain</w:t>
            </w:r>
          </w:p>
          <w:p w:rsidR="007D33A0" w:rsidRDefault="007D33A0" w:rsidP="00C05FB2">
            <w:pPr>
              <w:rPr>
                <w:b/>
                <w:szCs w:val="20"/>
              </w:rPr>
            </w:pPr>
          </w:p>
        </w:tc>
        <w:tc>
          <w:tcPr>
            <w:tcW w:w="389" w:type="pct"/>
          </w:tcPr>
          <w:p w:rsidR="007D33A0" w:rsidRPr="007410D4" w:rsidRDefault="007D33A0" w:rsidP="00C05FB2">
            <w:pPr>
              <w:rPr>
                <w:sz w:val="20"/>
                <w:szCs w:val="20"/>
              </w:rPr>
            </w:pPr>
            <w:r>
              <w:rPr>
                <w:sz w:val="20"/>
                <w:szCs w:val="20"/>
              </w:rPr>
              <w:t>Milk and dairy products</w:t>
            </w:r>
          </w:p>
        </w:tc>
        <w:tc>
          <w:tcPr>
            <w:tcW w:w="946" w:type="pct"/>
          </w:tcPr>
          <w:p w:rsidR="002017D9" w:rsidRDefault="007D33A0" w:rsidP="00F42401">
            <w:pPr>
              <w:rPr>
                <w:sz w:val="20"/>
                <w:szCs w:val="20"/>
              </w:rPr>
            </w:pPr>
            <w:r>
              <w:rPr>
                <w:sz w:val="20"/>
                <w:szCs w:val="20"/>
              </w:rPr>
              <w:t xml:space="preserve">Spain </w:t>
            </w:r>
            <w:r w:rsidR="002017D9">
              <w:rPr>
                <w:sz w:val="20"/>
                <w:szCs w:val="20"/>
              </w:rPr>
              <w:t>has prepared a draft</w:t>
            </w:r>
            <w:r>
              <w:rPr>
                <w:sz w:val="20"/>
                <w:szCs w:val="20"/>
              </w:rPr>
              <w:t xml:space="preserve"> </w:t>
            </w:r>
            <w:r w:rsidR="00F42401">
              <w:rPr>
                <w:sz w:val="20"/>
                <w:szCs w:val="20"/>
              </w:rPr>
              <w:t xml:space="preserve">national </w:t>
            </w:r>
            <w:r>
              <w:rPr>
                <w:sz w:val="20"/>
                <w:szCs w:val="20"/>
              </w:rPr>
              <w:t xml:space="preserve">measure on origin labelling </w:t>
            </w:r>
            <w:r w:rsidRPr="007D33A0">
              <w:rPr>
                <w:sz w:val="20"/>
                <w:szCs w:val="20"/>
              </w:rPr>
              <w:t>for milk and dairy</w:t>
            </w:r>
            <w:r>
              <w:rPr>
                <w:sz w:val="20"/>
                <w:szCs w:val="20"/>
              </w:rPr>
              <w:t xml:space="preserve"> products</w:t>
            </w:r>
            <w:r w:rsidR="002017D9">
              <w:rPr>
                <w:sz w:val="20"/>
                <w:szCs w:val="20"/>
              </w:rPr>
              <w:t>.</w:t>
            </w:r>
          </w:p>
          <w:p w:rsidR="00F42401" w:rsidRDefault="00F42401" w:rsidP="002017D9">
            <w:pPr>
              <w:rPr>
                <w:sz w:val="20"/>
                <w:szCs w:val="20"/>
              </w:rPr>
            </w:pPr>
          </w:p>
          <w:p w:rsidR="002017D9" w:rsidRDefault="002017D9" w:rsidP="002017D9">
            <w:pPr>
              <w:rPr>
                <w:sz w:val="20"/>
                <w:szCs w:val="20"/>
              </w:rPr>
            </w:pPr>
            <w:r>
              <w:rPr>
                <w:sz w:val="20"/>
                <w:szCs w:val="20"/>
              </w:rPr>
              <w:t xml:space="preserve">See </w:t>
            </w:r>
            <w:r w:rsidRPr="002017D9">
              <w:rPr>
                <w:b/>
                <w:sz w:val="20"/>
                <w:szCs w:val="20"/>
              </w:rPr>
              <w:t>FCP/INCO/013/17E</w:t>
            </w:r>
            <w:r>
              <w:rPr>
                <w:sz w:val="20"/>
                <w:szCs w:val="20"/>
              </w:rPr>
              <w:t xml:space="preserve">. </w:t>
            </w:r>
          </w:p>
          <w:p w:rsidR="002017D9" w:rsidRPr="00142FC1" w:rsidRDefault="002017D9" w:rsidP="002017D9">
            <w:pPr>
              <w:rPr>
                <w:sz w:val="20"/>
                <w:szCs w:val="20"/>
              </w:rPr>
            </w:pPr>
          </w:p>
        </w:tc>
        <w:tc>
          <w:tcPr>
            <w:tcW w:w="660" w:type="pct"/>
          </w:tcPr>
          <w:p w:rsidR="007D33A0" w:rsidRDefault="002017D9" w:rsidP="00C05FB2">
            <w:pPr>
              <w:rPr>
                <w:sz w:val="20"/>
                <w:szCs w:val="20"/>
              </w:rPr>
            </w:pPr>
            <w:r>
              <w:rPr>
                <w:sz w:val="20"/>
                <w:szCs w:val="20"/>
              </w:rPr>
              <w:t xml:space="preserve">Not notified yet. </w:t>
            </w:r>
          </w:p>
        </w:tc>
        <w:tc>
          <w:tcPr>
            <w:tcW w:w="407" w:type="pct"/>
          </w:tcPr>
          <w:p w:rsidR="007D33A0" w:rsidRDefault="007D33A0" w:rsidP="00C05FB2">
            <w:pPr>
              <w:rPr>
                <w:sz w:val="20"/>
                <w:szCs w:val="20"/>
              </w:rPr>
            </w:pPr>
          </w:p>
        </w:tc>
        <w:tc>
          <w:tcPr>
            <w:tcW w:w="1103" w:type="pct"/>
          </w:tcPr>
          <w:p w:rsidR="007D33A0" w:rsidRDefault="007D33A0" w:rsidP="006C1D05">
            <w:pPr>
              <w:rPr>
                <w:sz w:val="20"/>
                <w:szCs w:val="20"/>
              </w:rPr>
            </w:pPr>
          </w:p>
        </w:tc>
        <w:tc>
          <w:tcPr>
            <w:tcW w:w="1119" w:type="pct"/>
            <w:tcBorders>
              <w:top w:val="single" w:sz="4" w:space="0" w:color="auto"/>
              <w:left w:val="single" w:sz="4" w:space="0" w:color="auto"/>
              <w:bottom w:val="single" w:sz="4" w:space="0" w:color="auto"/>
              <w:right w:val="single" w:sz="4" w:space="0" w:color="auto"/>
            </w:tcBorders>
          </w:tcPr>
          <w:p w:rsidR="007D33A0" w:rsidRDefault="007D33A0" w:rsidP="00C05FB2">
            <w:pPr>
              <w:rPr>
                <w:sz w:val="20"/>
                <w:szCs w:val="20"/>
              </w:rPr>
            </w:pPr>
          </w:p>
        </w:tc>
      </w:tr>
      <w:tr w:rsidR="007D33A0" w:rsidRPr="00AB27B4" w:rsidTr="00417894">
        <w:tc>
          <w:tcPr>
            <w:tcW w:w="376" w:type="pct"/>
            <w:shd w:val="clear" w:color="auto" w:fill="DEEAF6" w:themeFill="accent1" w:themeFillTint="33"/>
          </w:tcPr>
          <w:p w:rsidR="007D33A0" w:rsidRDefault="007D33A0" w:rsidP="00C05FB2">
            <w:pPr>
              <w:rPr>
                <w:b/>
                <w:szCs w:val="20"/>
              </w:rPr>
            </w:pPr>
            <w:r>
              <w:rPr>
                <w:b/>
                <w:szCs w:val="20"/>
              </w:rPr>
              <w:t>Italy</w:t>
            </w:r>
          </w:p>
          <w:p w:rsidR="007D33A0" w:rsidRDefault="007D33A0" w:rsidP="00C05FB2">
            <w:pPr>
              <w:rPr>
                <w:b/>
                <w:szCs w:val="20"/>
              </w:rPr>
            </w:pPr>
          </w:p>
        </w:tc>
        <w:tc>
          <w:tcPr>
            <w:tcW w:w="389" w:type="pct"/>
          </w:tcPr>
          <w:p w:rsidR="007D33A0" w:rsidRPr="007410D4" w:rsidRDefault="007D33A0" w:rsidP="00C05FB2">
            <w:pPr>
              <w:rPr>
                <w:sz w:val="20"/>
                <w:szCs w:val="20"/>
              </w:rPr>
            </w:pPr>
            <w:r>
              <w:rPr>
                <w:sz w:val="20"/>
                <w:szCs w:val="20"/>
              </w:rPr>
              <w:t xml:space="preserve">Durum wheat and </w:t>
            </w:r>
            <w:r>
              <w:rPr>
                <w:sz w:val="20"/>
                <w:szCs w:val="20"/>
              </w:rPr>
              <w:lastRenderedPageBreak/>
              <w:t>semolina in pasta</w:t>
            </w:r>
          </w:p>
        </w:tc>
        <w:tc>
          <w:tcPr>
            <w:tcW w:w="946" w:type="pct"/>
          </w:tcPr>
          <w:p w:rsidR="007D33A0" w:rsidRDefault="00744D08" w:rsidP="007D33A0">
            <w:pPr>
              <w:rPr>
                <w:sz w:val="20"/>
                <w:szCs w:val="20"/>
              </w:rPr>
            </w:pPr>
            <w:r>
              <w:rPr>
                <w:sz w:val="20"/>
                <w:szCs w:val="20"/>
              </w:rPr>
              <w:lastRenderedPageBreak/>
              <w:t>I</w:t>
            </w:r>
            <w:r w:rsidR="007D33A0">
              <w:rPr>
                <w:sz w:val="20"/>
                <w:szCs w:val="20"/>
              </w:rPr>
              <w:t xml:space="preserve">taly </w:t>
            </w:r>
            <w:r w:rsidR="00590AEC">
              <w:rPr>
                <w:sz w:val="20"/>
                <w:szCs w:val="20"/>
              </w:rPr>
              <w:t xml:space="preserve">has prepared </w:t>
            </w:r>
            <w:r w:rsidR="007D33A0" w:rsidRPr="007D33A0">
              <w:rPr>
                <w:sz w:val="20"/>
                <w:szCs w:val="20"/>
              </w:rPr>
              <w:t xml:space="preserve">a </w:t>
            </w:r>
            <w:r w:rsidR="00590AEC">
              <w:rPr>
                <w:sz w:val="20"/>
                <w:szCs w:val="20"/>
              </w:rPr>
              <w:t xml:space="preserve">draft </w:t>
            </w:r>
            <w:r w:rsidR="00F42401">
              <w:rPr>
                <w:sz w:val="20"/>
                <w:szCs w:val="20"/>
              </w:rPr>
              <w:t xml:space="preserve">national measure </w:t>
            </w:r>
            <w:r w:rsidR="007D33A0" w:rsidRPr="007D33A0">
              <w:rPr>
                <w:sz w:val="20"/>
                <w:szCs w:val="20"/>
              </w:rPr>
              <w:t xml:space="preserve">on origin </w:t>
            </w:r>
            <w:r w:rsidR="007D33A0" w:rsidRPr="007D33A0">
              <w:rPr>
                <w:sz w:val="20"/>
                <w:szCs w:val="20"/>
              </w:rPr>
              <w:lastRenderedPageBreak/>
              <w:t>labelling for durum wheat and semolina in pasta</w:t>
            </w:r>
          </w:p>
          <w:p w:rsidR="007D33A0" w:rsidRPr="00142FC1" w:rsidRDefault="007D33A0" w:rsidP="00C05FB2">
            <w:pPr>
              <w:rPr>
                <w:sz w:val="20"/>
                <w:szCs w:val="20"/>
              </w:rPr>
            </w:pPr>
          </w:p>
        </w:tc>
        <w:tc>
          <w:tcPr>
            <w:tcW w:w="660" w:type="pct"/>
          </w:tcPr>
          <w:p w:rsidR="007D33A0" w:rsidRDefault="00376DD2" w:rsidP="00C05FB2">
            <w:pPr>
              <w:rPr>
                <w:sz w:val="20"/>
                <w:szCs w:val="20"/>
              </w:rPr>
            </w:pPr>
            <w:r w:rsidRPr="00376DD2">
              <w:rPr>
                <w:sz w:val="20"/>
                <w:szCs w:val="20"/>
              </w:rPr>
              <w:lastRenderedPageBreak/>
              <w:t>Not notified yet.</w:t>
            </w:r>
          </w:p>
        </w:tc>
        <w:tc>
          <w:tcPr>
            <w:tcW w:w="407" w:type="pct"/>
          </w:tcPr>
          <w:p w:rsidR="007D33A0" w:rsidRDefault="007D33A0" w:rsidP="00C05FB2">
            <w:pPr>
              <w:rPr>
                <w:sz w:val="20"/>
                <w:szCs w:val="20"/>
              </w:rPr>
            </w:pPr>
          </w:p>
        </w:tc>
        <w:tc>
          <w:tcPr>
            <w:tcW w:w="1103" w:type="pct"/>
          </w:tcPr>
          <w:p w:rsidR="007D33A0" w:rsidRDefault="00744D08" w:rsidP="00B76200">
            <w:pPr>
              <w:rPr>
                <w:sz w:val="20"/>
                <w:szCs w:val="20"/>
              </w:rPr>
            </w:pPr>
            <w:r w:rsidRPr="003D65AE">
              <w:rPr>
                <w:sz w:val="20"/>
                <w:szCs w:val="20"/>
              </w:rPr>
              <w:t xml:space="preserve">The measure </w:t>
            </w:r>
            <w:r w:rsidR="00B76200" w:rsidRPr="003D65AE">
              <w:rPr>
                <w:sz w:val="20"/>
                <w:szCs w:val="20"/>
              </w:rPr>
              <w:t xml:space="preserve">has been sent to the Commission for a first evaluation, </w:t>
            </w:r>
            <w:r w:rsidRPr="003D65AE">
              <w:rPr>
                <w:sz w:val="20"/>
                <w:szCs w:val="20"/>
              </w:rPr>
              <w:lastRenderedPageBreak/>
              <w:t xml:space="preserve">but it has not been </w:t>
            </w:r>
            <w:r w:rsidR="00B76200" w:rsidRPr="003D65AE">
              <w:rPr>
                <w:sz w:val="20"/>
                <w:szCs w:val="20"/>
              </w:rPr>
              <w:t>formally</w:t>
            </w:r>
            <w:r w:rsidRPr="003D65AE">
              <w:rPr>
                <w:sz w:val="20"/>
                <w:szCs w:val="20"/>
              </w:rPr>
              <w:t xml:space="preserve"> notified yet. </w:t>
            </w:r>
          </w:p>
        </w:tc>
        <w:tc>
          <w:tcPr>
            <w:tcW w:w="1119" w:type="pct"/>
            <w:tcBorders>
              <w:top w:val="single" w:sz="4" w:space="0" w:color="auto"/>
              <w:left w:val="single" w:sz="4" w:space="0" w:color="auto"/>
              <w:bottom w:val="single" w:sz="4" w:space="0" w:color="auto"/>
              <w:right w:val="single" w:sz="4" w:space="0" w:color="auto"/>
            </w:tcBorders>
          </w:tcPr>
          <w:p w:rsidR="007D33A0" w:rsidRDefault="007D33A0" w:rsidP="00C05FB2">
            <w:pPr>
              <w:rPr>
                <w:sz w:val="20"/>
                <w:szCs w:val="20"/>
              </w:rPr>
            </w:pPr>
          </w:p>
        </w:tc>
      </w:tr>
      <w:tr w:rsidR="007D33A0" w:rsidRPr="00AB27B4" w:rsidTr="00417894">
        <w:tc>
          <w:tcPr>
            <w:tcW w:w="376" w:type="pct"/>
            <w:shd w:val="clear" w:color="auto" w:fill="DEEAF6" w:themeFill="accent1" w:themeFillTint="33"/>
          </w:tcPr>
          <w:p w:rsidR="007D33A0" w:rsidRDefault="007D33A0" w:rsidP="00C05FB2">
            <w:pPr>
              <w:rPr>
                <w:b/>
                <w:szCs w:val="20"/>
              </w:rPr>
            </w:pPr>
            <w:r>
              <w:rPr>
                <w:b/>
                <w:szCs w:val="20"/>
              </w:rPr>
              <w:lastRenderedPageBreak/>
              <w:t>Romania</w:t>
            </w:r>
          </w:p>
          <w:p w:rsidR="007D33A0" w:rsidRDefault="007D33A0" w:rsidP="00C05FB2">
            <w:pPr>
              <w:rPr>
                <w:b/>
                <w:szCs w:val="20"/>
              </w:rPr>
            </w:pPr>
          </w:p>
        </w:tc>
        <w:tc>
          <w:tcPr>
            <w:tcW w:w="389" w:type="pct"/>
          </w:tcPr>
          <w:p w:rsidR="007D33A0" w:rsidRPr="007410D4" w:rsidRDefault="007D33A0" w:rsidP="00C05FB2">
            <w:pPr>
              <w:rPr>
                <w:sz w:val="20"/>
                <w:szCs w:val="20"/>
              </w:rPr>
            </w:pPr>
            <w:r>
              <w:rPr>
                <w:sz w:val="20"/>
                <w:szCs w:val="20"/>
              </w:rPr>
              <w:t>Milk and dairy products</w:t>
            </w:r>
          </w:p>
        </w:tc>
        <w:tc>
          <w:tcPr>
            <w:tcW w:w="946" w:type="pct"/>
          </w:tcPr>
          <w:p w:rsidR="007D33A0" w:rsidRDefault="007D33A0" w:rsidP="00C05FB2">
            <w:pPr>
              <w:rPr>
                <w:sz w:val="20"/>
                <w:szCs w:val="20"/>
              </w:rPr>
            </w:pPr>
            <w:r>
              <w:rPr>
                <w:sz w:val="20"/>
                <w:szCs w:val="20"/>
              </w:rPr>
              <w:t>Romania has started working at a new measure on origin labelling for milk and dairy</w:t>
            </w:r>
          </w:p>
          <w:p w:rsidR="007D33A0" w:rsidRPr="00142FC1" w:rsidRDefault="007D33A0" w:rsidP="00C05FB2">
            <w:pPr>
              <w:rPr>
                <w:sz w:val="20"/>
                <w:szCs w:val="20"/>
              </w:rPr>
            </w:pPr>
          </w:p>
        </w:tc>
        <w:tc>
          <w:tcPr>
            <w:tcW w:w="660" w:type="pct"/>
          </w:tcPr>
          <w:p w:rsidR="007D33A0" w:rsidRDefault="00BD6053" w:rsidP="00C05FB2">
            <w:pPr>
              <w:rPr>
                <w:sz w:val="20"/>
                <w:szCs w:val="20"/>
              </w:rPr>
            </w:pPr>
            <w:r>
              <w:rPr>
                <w:sz w:val="20"/>
                <w:szCs w:val="20"/>
              </w:rPr>
              <w:t xml:space="preserve">Not notified yet. </w:t>
            </w:r>
          </w:p>
        </w:tc>
        <w:tc>
          <w:tcPr>
            <w:tcW w:w="407" w:type="pct"/>
          </w:tcPr>
          <w:p w:rsidR="007D33A0" w:rsidRDefault="007D33A0" w:rsidP="00C05FB2">
            <w:pPr>
              <w:rPr>
                <w:sz w:val="20"/>
                <w:szCs w:val="20"/>
              </w:rPr>
            </w:pPr>
          </w:p>
        </w:tc>
        <w:tc>
          <w:tcPr>
            <w:tcW w:w="1103" w:type="pct"/>
          </w:tcPr>
          <w:p w:rsidR="007D33A0" w:rsidRDefault="007D33A0" w:rsidP="006C1D05">
            <w:pPr>
              <w:rPr>
                <w:sz w:val="20"/>
                <w:szCs w:val="20"/>
              </w:rPr>
            </w:pPr>
          </w:p>
        </w:tc>
        <w:tc>
          <w:tcPr>
            <w:tcW w:w="1119" w:type="pct"/>
            <w:tcBorders>
              <w:top w:val="single" w:sz="4" w:space="0" w:color="auto"/>
              <w:left w:val="single" w:sz="4" w:space="0" w:color="auto"/>
              <w:bottom w:val="single" w:sz="4" w:space="0" w:color="auto"/>
              <w:right w:val="single" w:sz="4" w:space="0" w:color="auto"/>
            </w:tcBorders>
          </w:tcPr>
          <w:p w:rsidR="007D33A0" w:rsidRDefault="007D33A0" w:rsidP="00C05FB2">
            <w:pPr>
              <w:rPr>
                <w:sz w:val="20"/>
                <w:szCs w:val="20"/>
              </w:rPr>
            </w:pPr>
          </w:p>
        </w:tc>
      </w:tr>
      <w:tr w:rsidR="00245C74" w:rsidRPr="00AB27B4" w:rsidTr="00417894">
        <w:tc>
          <w:tcPr>
            <w:tcW w:w="376" w:type="pct"/>
            <w:shd w:val="clear" w:color="auto" w:fill="DEEAF6" w:themeFill="accent1" w:themeFillTint="33"/>
          </w:tcPr>
          <w:p w:rsidR="00C05FB2" w:rsidRDefault="00C05FB2" w:rsidP="00C05FB2">
            <w:pPr>
              <w:rPr>
                <w:b/>
                <w:szCs w:val="20"/>
              </w:rPr>
            </w:pPr>
            <w:r>
              <w:rPr>
                <w:b/>
                <w:szCs w:val="20"/>
              </w:rPr>
              <w:t xml:space="preserve">Finland </w:t>
            </w:r>
          </w:p>
          <w:p w:rsidR="00C05FB2" w:rsidRPr="00AB27B4" w:rsidRDefault="00C05FB2" w:rsidP="00C05FB2">
            <w:pPr>
              <w:rPr>
                <w:b/>
                <w:szCs w:val="20"/>
              </w:rPr>
            </w:pPr>
          </w:p>
        </w:tc>
        <w:tc>
          <w:tcPr>
            <w:tcW w:w="389" w:type="pct"/>
          </w:tcPr>
          <w:p w:rsidR="00C05FB2" w:rsidRDefault="00C05FB2" w:rsidP="00C05FB2">
            <w:pPr>
              <w:rPr>
                <w:sz w:val="20"/>
                <w:szCs w:val="20"/>
              </w:rPr>
            </w:pPr>
            <w:r w:rsidRPr="007410D4">
              <w:rPr>
                <w:sz w:val="20"/>
                <w:szCs w:val="20"/>
              </w:rPr>
              <w:t xml:space="preserve">Milk, milk used </w:t>
            </w:r>
            <w:r>
              <w:rPr>
                <w:sz w:val="20"/>
                <w:szCs w:val="20"/>
              </w:rPr>
              <w:t xml:space="preserve">as an ingredient </w:t>
            </w:r>
            <w:r w:rsidRPr="007410D4">
              <w:rPr>
                <w:sz w:val="20"/>
                <w:szCs w:val="20"/>
              </w:rPr>
              <w:t xml:space="preserve">in </w:t>
            </w:r>
            <w:r>
              <w:rPr>
                <w:sz w:val="20"/>
                <w:szCs w:val="20"/>
              </w:rPr>
              <w:t xml:space="preserve">certain </w:t>
            </w:r>
            <w:r w:rsidRPr="007410D4">
              <w:rPr>
                <w:sz w:val="20"/>
                <w:szCs w:val="20"/>
              </w:rPr>
              <w:t xml:space="preserve">dairy products, meat used as ingredient </w:t>
            </w:r>
          </w:p>
          <w:p w:rsidR="00C05FB2" w:rsidRPr="00AB27B4" w:rsidRDefault="00C05FB2" w:rsidP="00C05FB2">
            <w:pPr>
              <w:rPr>
                <w:sz w:val="20"/>
                <w:szCs w:val="20"/>
              </w:rPr>
            </w:pPr>
          </w:p>
        </w:tc>
        <w:tc>
          <w:tcPr>
            <w:tcW w:w="946" w:type="pct"/>
          </w:tcPr>
          <w:p w:rsidR="00C05FB2" w:rsidRPr="00142FC1" w:rsidRDefault="00C05FB2" w:rsidP="00C05FB2">
            <w:pPr>
              <w:rPr>
                <w:sz w:val="20"/>
                <w:szCs w:val="20"/>
              </w:rPr>
            </w:pPr>
            <w:r w:rsidRPr="00142FC1">
              <w:rPr>
                <w:sz w:val="20"/>
                <w:szCs w:val="20"/>
              </w:rPr>
              <w:t>The draft decree:</w:t>
            </w:r>
          </w:p>
          <w:p w:rsidR="00C05FB2" w:rsidRPr="00142FC1" w:rsidRDefault="00C05FB2" w:rsidP="00C05FB2">
            <w:pPr>
              <w:numPr>
                <w:ilvl w:val="0"/>
                <w:numId w:val="11"/>
              </w:numPr>
              <w:ind w:left="360"/>
              <w:jc w:val="both"/>
              <w:rPr>
                <w:sz w:val="20"/>
                <w:szCs w:val="20"/>
              </w:rPr>
            </w:pPr>
            <w:r w:rsidRPr="00142FC1">
              <w:rPr>
                <w:sz w:val="20"/>
                <w:szCs w:val="20"/>
              </w:rPr>
              <w:t>Requires the indication of the “country of rearing (Member State or third country)” and “country of slaughter (Member State or third country)” of beef, swine, sheep, goat and poultry meat used as ingredient (some flexibility is allowed in certain cases);</w:t>
            </w:r>
          </w:p>
          <w:p w:rsidR="00C05FB2" w:rsidRDefault="00C05FB2" w:rsidP="00C05FB2">
            <w:pPr>
              <w:numPr>
                <w:ilvl w:val="0"/>
                <w:numId w:val="11"/>
              </w:numPr>
              <w:ind w:left="360"/>
              <w:jc w:val="both"/>
              <w:rPr>
                <w:sz w:val="20"/>
                <w:szCs w:val="20"/>
              </w:rPr>
            </w:pPr>
            <w:r w:rsidRPr="00142FC1">
              <w:rPr>
                <w:sz w:val="20"/>
                <w:szCs w:val="20"/>
              </w:rPr>
              <w:t>Requires the indication of the “country of milking: (Member State or third country)” for milk and milk used as an ingredient in dairy products indicated in the annex to the decree (some flexibili</w:t>
            </w:r>
            <w:r w:rsidR="007D33A0">
              <w:rPr>
                <w:sz w:val="20"/>
                <w:szCs w:val="20"/>
              </w:rPr>
              <w:t>ty is allowed in certain cases).</w:t>
            </w:r>
          </w:p>
          <w:p w:rsidR="007D33A0" w:rsidRDefault="007D33A0" w:rsidP="007D33A0">
            <w:pPr>
              <w:jc w:val="both"/>
              <w:rPr>
                <w:sz w:val="20"/>
                <w:szCs w:val="20"/>
              </w:rPr>
            </w:pPr>
          </w:p>
          <w:p w:rsidR="007D33A0" w:rsidRDefault="007D33A0" w:rsidP="007D33A0">
            <w:pPr>
              <w:jc w:val="both"/>
              <w:rPr>
                <w:sz w:val="20"/>
                <w:szCs w:val="20"/>
              </w:rPr>
            </w:pPr>
            <w:r>
              <w:rPr>
                <w:sz w:val="20"/>
                <w:szCs w:val="20"/>
              </w:rPr>
              <w:t xml:space="preserve">The draft decree is presented as an experiment limited in time. </w:t>
            </w:r>
          </w:p>
          <w:p w:rsidR="00C05FB2" w:rsidRPr="00142FC1" w:rsidRDefault="00C05FB2" w:rsidP="00C05FB2">
            <w:pPr>
              <w:ind w:left="-360"/>
              <w:jc w:val="both"/>
              <w:rPr>
                <w:sz w:val="20"/>
                <w:szCs w:val="20"/>
              </w:rPr>
            </w:pPr>
          </w:p>
          <w:p w:rsidR="007D33A0" w:rsidRPr="006C1D05" w:rsidRDefault="006C1D05" w:rsidP="00C05FB2">
            <w:pPr>
              <w:jc w:val="both"/>
              <w:rPr>
                <w:b/>
                <w:sz w:val="20"/>
                <w:szCs w:val="20"/>
              </w:rPr>
            </w:pPr>
            <w:r w:rsidRPr="003318C5">
              <w:rPr>
                <w:b/>
                <w:sz w:val="20"/>
                <w:szCs w:val="20"/>
              </w:rPr>
              <w:t>See FCP/INCO/091/16E</w:t>
            </w:r>
          </w:p>
          <w:p w:rsidR="00C05FB2" w:rsidRDefault="00C05FB2" w:rsidP="00C05FB2">
            <w:pPr>
              <w:ind w:left="360"/>
              <w:jc w:val="both"/>
              <w:rPr>
                <w:sz w:val="20"/>
                <w:szCs w:val="20"/>
              </w:rPr>
            </w:pPr>
          </w:p>
        </w:tc>
        <w:tc>
          <w:tcPr>
            <w:tcW w:w="660" w:type="pct"/>
          </w:tcPr>
          <w:p w:rsidR="00C05FB2" w:rsidRDefault="00B76200" w:rsidP="00C05FB2">
            <w:pPr>
              <w:rPr>
                <w:sz w:val="20"/>
                <w:szCs w:val="20"/>
              </w:rPr>
            </w:pPr>
            <w:r>
              <w:rPr>
                <w:sz w:val="20"/>
                <w:szCs w:val="20"/>
              </w:rPr>
              <w:lastRenderedPageBreak/>
              <w:t xml:space="preserve">Originally notified on </w:t>
            </w:r>
            <w:r w:rsidR="00C05FB2">
              <w:rPr>
                <w:sz w:val="20"/>
                <w:szCs w:val="20"/>
              </w:rPr>
              <w:t>29 September 2016</w:t>
            </w:r>
            <w:r>
              <w:rPr>
                <w:sz w:val="20"/>
                <w:szCs w:val="20"/>
              </w:rPr>
              <w:t xml:space="preserve">. </w:t>
            </w:r>
          </w:p>
          <w:p w:rsidR="00B76200" w:rsidRDefault="00B76200" w:rsidP="00C05FB2">
            <w:pPr>
              <w:rPr>
                <w:sz w:val="20"/>
                <w:szCs w:val="20"/>
              </w:rPr>
            </w:pPr>
          </w:p>
          <w:p w:rsidR="00A30B06" w:rsidRDefault="0056383A" w:rsidP="00A30B06">
            <w:r w:rsidRPr="009C4AFE">
              <w:rPr>
                <w:sz w:val="20"/>
                <w:szCs w:val="20"/>
              </w:rPr>
              <w:t>The Commission did not raise any objection within the deadline (mid-January 2017).</w:t>
            </w:r>
            <w:r w:rsidR="00A30B06">
              <w:t xml:space="preserve"> </w:t>
            </w:r>
          </w:p>
          <w:p w:rsidR="00A30B06" w:rsidRDefault="00A30B06" w:rsidP="00A30B06"/>
          <w:p w:rsidR="00B76200" w:rsidRPr="0056383A" w:rsidRDefault="00B76200" w:rsidP="00C05FB2">
            <w:pPr>
              <w:rPr>
                <w:color w:val="FF0000"/>
                <w:sz w:val="20"/>
                <w:szCs w:val="20"/>
              </w:rPr>
            </w:pPr>
          </w:p>
          <w:p w:rsidR="00C05FB2" w:rsidRDefault="00C05FB2" w:rsidP="00C05FB2">
            <w:pPr>
              <w:rPr>
                <w:sz w:val="20"/>
                <w:szCs w:val="20"/>
              </w:rPr>
            </w:pPr>
          </w:p>
          <w:p w:rsidR="00C05FB2" w:rsidRDefault="00C05FB2" w:rsidP="00C05FB2">
            <w:pPr>
              <w:rPr>
                <w:sz w:val="20"/>
                <w:szCs w:val="20"/>
              </w:rPr>
            </w:pPr>
          </w:p>
          <w:p w:rsidR="00C05FB2" w:rsidRDefault="00C05FB2" w:rsidP="00C05FB2">
            <w:pPr>
              <w:rPr>
                <w:sz w:val="20"/>
                <w:szCs w:val="20"/>
              </w:rPr>
            </w:pPr>
          </w:p>
        </w:tc>
        <w:tc>
          <w:tcPr>
            <w:tcW w:w="407" w:type="pct"/>
          </w:tcPr>
          <w:p w:rsidR="00C05FB2" w:rsidRDefault="00C05FB2" w:rsidP="00A30B06">
            <w:pPr>
              <w:rPr>
                <w:sz w:val="20"/>
                <w:szCs w:val="20"/>
              </w:rPr>
            </w:pPr>
            <w:r w:rsidRPr="00A30B06">
              <w:rPr>
                <w:color w:val="FF0000"/>
                <w:sz w:val="20"/>
                <w:szCs w:val="20"/>
              </w:rPr>
              <w:t xml:space="preserve">The decree </w:t>
            </w:r>
            <w:r w:rsidR="00A30B06" w:rsidRPr="00A30B06">
              <w:rPr>
                <w:color w:val="FF0000"/>
                <w:sz w:val="20"/>
                <w:szCs w:val="20"/>
              </w:rPr>
              <w:t xml:space="preserve">will come into force on 1 June 2017 and it will apply until 31 May 2019. </w:t>
            </w:r>
          </w:p>
          <w:p w:rsidR="00A30B06" w:rsidRDefault="00A30B06" w:rsidP="00A30B06">
            <w:pPr>
              <w:rPr>
                <w:sz w:val="20"/>
                <w:szCs w:val="20"/>
              </w:rPr>
            </w:pPr>
          </w:p>
          <w:p w:rsidR="00A30B06" w:rsidRPr="00AB27B4" w:rsidRDefault="00A30B06" w:rsidP="00A30B06">
            <w:pPr>
              <w:rPr>
                <w:sz w:val="20"/>
                <w:szCs w:val="20"/>
              </w:rPr>
            </w:pPr>
          </w:p>
        </w:tc>
        <w:tc>
          <w:tcPr>
            <w:tcW w:w="1103" w:type="pct"/>
          </w:tcPr>
          <w:p w:rsidR="00C05FB2" w:rsidRDefault="00A30B06" w:rsidP="006C1D05">
            <w:pPr>
              <w:rPr>
                <w:b/>
                <w:sz w:val="20"/>
                <w:szCs w:val="20"/>
              </w:rPr>
            </w:pPr>
            <w:r>
              <w:rPr>
                <w:sz w:val="20"/>
                <w:szCs w:val="20"/>
              </w:rPr>
              <w:t>D</w:t>
            </w:r>
            <w:r w:rsidR="00C05FB2" w:rsidRPr="00794CD1">
              <w:rPr>
                <w:sz w:val="20"/>
                <w:szCs w:val="20"/>
              </w:rPr>
              <w:t xml:space="preserve">iscussed in the Standing Committee of 10 October 2016 </w:t>
            </w:r>
            <w:r w:rsidR="00C05FB2" w:rsidRPr="003318C5">
              <w:rPr>
                <w:b/>
                <w:sz w:val="20"/>
                <w:szCs w:val="20"/>
              </w:rPr>
              <w:t>(see FCP/INCO/093/16E</w:t>
            </w:r>
            <w:r w:rsidR="006C1D05" w:rsidRPr="003318C5">
              <w:rPr>
                <w:b/>
                <w:sz w:val="20"/>
                <w:szCs w:val="20"/>
              </w:rPr>
              <w:t xml:space="preserve"> FCP/INCO/097/16E)</w:t>
            </w:r>
          </w:p>
          <w:p w:rsidR="00A30B06" w:rsidRPr="00AB27B4" w:rsidRDefault="00A30B06" w:rsidP="006C1D05">
            <w:pPr>
              <w:rPr>
                <w:sz w:val="20"/>
                <w:szCs w:val="20"/>
              </w:rPr>
            </w:pPr>
          </w:p>
        </w:tc>
        <w:tc>
          <w:tcPr>
            <w:tcW w:w="1119" w:type="pct"/>
            <w:tcBorders>
              <w:top w:val="single" w:sz="4" w:space="0" w:color="auto"/>
              <w:left w:val="single" w:sz="4" w:space="0" w:color="auto"/>
              <w:bottom w:val="single" w:sz="4" w:space="0" w:color="auto"/>
              <w:right w:val="single" w:sz="4" w:space="0" w:color="auto"/>
            </w:tcBorders>
          </w:tcPr>
          <w:p w:rsidR="00C05FB2" w:rsidRDefault="00C05FB2" w:rsidP="00C05FB2">
            <w:pPr>
              <w:rPr>
                <w:sz w:val="20"/>
                <w:szCs w:val="20"/>
              </w:rPr>
            </w:pP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lastRenderedPageBreak/>
              <w:t>Greece</w:t>
            </w:r>
          </w:p>
        </w:tc>
        <w:tc>
          <w:tcPr>
            <w:tcW w:w="389" w:type="pct"/>
          </w:tcPr>
          <w:p w:rsidR="00C05FB2" w:rsidRPr="00AB27B4" w:rsidRDefault="00C05FB2" w:rsidP="00C05FB2">
            <w:pPr>
              <w:rPr>
                <w:sz w:val="20"/>
                <w:szCs w:val="20"/>
              </w:rPr>
            </w:pPr>
            <w:r>
              <w:rPr>
                <w:sz w:val="20"/>
                <w:szCs w:val="20"/>
              </w:rPr>
              <w:t>Rabbit meat</w:t>
            </w:r>
          </w:p>
        </w:tc>
        <w:tc>
          <w:tcPr>
            <w:tcW w:w="946" w:type="pct"/>
          </w:tcPr>
          <w:p w:rsidR="00C05FB2" w:rsidRDefault="00C05FB2" w:rsidP="006C1D05">
            <w:pPr>
              <w:rPr>
                <w:sz w:val="20"/>
                <w:szCs w:val="20"/>
              </w:rPr>
            </w:pPr>
            <w:r w:rsidRPr="006C1D05">
              <w:rPr>
                <w:sz w:val="20"/>
                <w:szCs w:val="20"/>
              </w:rPr>
              <w:t>For rabbit meat, pre-packaged or not, a mandatory indication of the “cou</w:t>
            </w:r>
            <w:r w:rsidR="006C1D05">
              <w:rPr>
                <w:sz w:val="20"/>
                <w:szCs w:val="20"/>
              </w:rPr>
              <w:t xml:space="preserve">ntry of slaughter” is mandatory. </w:t>
            </w:r>
          </w:p>
          <w:p w:rsidR="006C1D05" w:rsidRDefault="006C1D05" w:rsidP="006C1D05">
            <w:pPr>
              <w:rPr>
                <w:sz w:val="20"/>
                <w:szCs w:val="20"/>
              </w:rPr>
            </w:pPr>
          </w:p>
          <w:p w:rsidR="006C1D05" w:rsidRPr="009C4AFE" w:rsidRDefault="006C1D05" w:rsidP="006C1D05">
            <w:pPr>
              <w:rPr>
                <w:sz w:val="20"/>
                <w:szCs w:val="20"/>
              </w:rPr>
            </w:pPr>
            <w:r w:rsidRPr="009C4AFE">
              <w:rPr>
                <w:sz w:val="20"/>
                <w:szCs w:val="20"/>
              </w:rPr>
              <w:t>The draft decree is</w:t>
            </w:r>
            <w:r w:rsidR="00E74FA9" w:rsidRPr="009C4AFE">
              <w:rPr>
                <w:sz w:val="20"/>
                <w:szCs w:val="20"/>
              </w:rPr>
              <w:t xml:space="preserve"> supposedly temporary (2 years). </w:t>
            </w:r>
          </w:p>
          <w:p w:rsidR="00C05FB2" w:rsidRPr="00794CD1" w:rsidRDefault="00C05FB2" w:rsidP="00C05FB2">
            <w:pPr>
              <w:rPr>
                <w:sz w:val="20"/>
                <w:szCs w:val="20"/>
              </w:rPr>
            </w:pPr>
          </w:p>
          <w:p w:rsidR="00C05FB2" w:rsidRPr="003318C5" w:rsidRDefault="00C05FB2" w:rsidP="00C05FB2">
            <w:pPr>
              <w:rPr>
                <w:b/>
                <w:sz w:val="20"/>
                <w:szCs w:val="20"/>
              </w:rPr>
            </w:pPr>
            <w:r w:rsidRPr="003318C5">
              <w:rPr>
                <w:b/>
                <w:sz w:val="20"/>
                <w:szCs w:val="20"/>
              </w:rPr>
              <w:t>See FCP/INCO/087/16E-Rev.1</w:t>
            </w:r>
          </w:p>
          <w:p w:rsidR="006C1D05" w:rsidRDefault="006C1D05" w:rsidP="00C05FB2">
            <w:pPr>
              <w:rPr>
                <w:sz w:val="20"/>
                <w:szCs w:val="20"/>
              </w:rPr>
            </w:pPr>
          </w:p>
        </w:tc>
        <w:tc>
          <w:tcPr>
            <w:tcW w:w="660" w:type="pct"/>
          </w:tcPr>
          <w:p w:rsidR="00C05FB2" w:rsidRDefault="007D33A0" w:rsidP="007D33A0">
            <w:pPr>
              <w:rPr>
                <w:sz w:val="20"/>
                <w:szCs w:val="20"/>
              </w:rPr>
            </w:pPr>
            <w:r>
              <w:rPr>
                <w:sz w:val="20"/>
                <w:szCs w:val="20"/>
              </w:rPr>
              <w:t>Date of notification u</w:t>
            </w:r>
            <w:r w:rsidR="00C05FB2">
              <w:rPr>
                <w:sz w:val="20"/>
                <w:szCs w:val="20"/>
              </w:rPr>
              <w:t>nknown</w:t>
            </w:r>
          </w:p>
          <w:p w:rsidR="00DF12D4" w:rsidRDefault="00DF12D4" w:rsidP="007D33A0">
            <w:pPr>
              <w:rPr>
                <w:sz w:val="20"/>
                <w:szCs w:val="20"/>
              </w:rPr>
            </w:pPr>
          </w:p>
          <w:p w:rsidR="00DF12D4" w:rsidRPr="00DF12D4" w:rsidRDefault="00B76200" w:rsidP="00DF12D4">
            <w:pPr>
              <w:rPr>
                <w:color w:val="FF0000"/>
                <w:sz w:val="20"/>
                <w:szCs w:val="20"/>
              </w:rPr>
            </w:pPr>
            <w:r w:rsidRPr="003D65AE">
              <w:rPr>
                <w:sz w:val="20"/>
                <w:szCs w:val="20"/>
              </w:rPr>
              <w:t>T</w:t>
            </w:r>
            <w:r w:rsidR="00DF12D4" w:rsidRPr="003D65AE">
              <w:rPr>
                <w:sz w:val="20"/>
                <w:szCs w:val="20"/>
              </w:rPr>
              <w:t xml:space="preserve">he EC </w:t>
            </w:r>
            <w:r w:rsidRPr="003D65AE">
              <w:rPr>
                <w:sz w:val="20"/>
                <w:szCs w:val="20"/>
              </w:rPr>
              <w:t>has not raised any objections within the deadline (</w:t>
            </w:r>
            <w:r w:rsidR="00DF12D4" w:rsidRPr="003D65AE">
              <w:rPr>
                <w:sz w:val="20"/>
                <w:szCs w:val="20"/>
              </w:rPr>
              <w:t>end of December 2016</w:t>
            </w:r>
            <w:r w:rsidRPr="003D65AE">
              <w:rPr>
                <w:sz w:val="20"/>
                <w:szCs w:val="20"/>
              </w:rPr>
              <w:t>).</w:t>
            </w:r>
          </w:p>
          <w:p w:rsidR="00DF12D4" w:rsidRDefault="00DF12D4" w:rsidP="007D33A0">
            <w:pPr>
              <w:rPr>
                <w:sz w:val="20"/>
                <w:szCs w:val="20"/>
              </w:rPr>
            </w:pPr>
          </w:p>
        </w:tc>
        <w:tc>
          <w:tcPr>
            <w:tcW w:w="407" w:type="pct"/>
          </w:tcPr>
          <w:p w:rsidR="00C05FB2" w:rsidRPr="00AB27B4" w:rsidRDefault="00C05FB2" w:rsidP="00E74FA9">
            <w:pPr>
              <w:rPr>
                <w:sz w:val="20"/>
                <w:szCs w:val="20"/>
              </w:rPr>
            </w:pPr>
            <w:r>
              <w:rPr>
                <w:sz w:val="20"/>
                <w:szCs w:val="20"/>
              </w:rPr>
              <w:t>Unknown</w:t>
            </w:r>
            <w:r w:rsidR="00E74FA9" w:rsidRPr="00E74FA9">
              <w:rPr>
                <w:sz w:val="20"/>
                <w:szCs w:val="20"/>
              </w:rPr>
              <w:t xml:space="preserve"> </w:t>
            </w:r>
            <w:r w:rsidR="00E74FA9" w:rsidRPr="009C4AFE">
              <w:rPr>
                <w:sz w:val="20"/>
                <w:szCs w:val="20"/>
              </w:rPr>
              <w:t>– expected soon</w:t>
            </w:r>
          </w:p>
        </w:tc>
        <w:tc>
          <w:tcPr>
            <w:tcW w:w="1103" w:type="pct"/>
          </w:tcPr>
          <w:p w:rsidR="00C05FB2" w:rsidRPr="00AB27B4" w:rsidRDefault="00C05FB2" w:rsidP="006C1D05">
            <w:pPr>
              <w:rPr>
                <w:sz w:val="20"/>
                <w:szCs w:val="20"/>
              </w:rPr>
            </w:pPr>
            <w:r w:rsidRPr="003318C5">
              <w:rPr>
                <w:sz w:val="20"/>
                <w:szCs w:val="20"/>
              </w:rPr>
              <w:t xml:space="preserve">This draft decree has been discussed in the Standing Committee of 10 October 2016 </w:t>
            </w:r>
            <w:r w:rsidRPr="003318C5">
              <w:rPr>
                <w:b/>
                <w:sz w:val="20"/>
                <w:szCs w:val="20"/>
              </w:rPr>
              <w:t>(see FCP/INCO/093/16E</w:t>
            </w:r>
            <w:r w:rsidR="006C1D05" w:rsidRPr="003318C5">
              <w:rPr>
                <w:b/>
                <w:sz w:val="20"/>
                <w:szCs w:val="20"/>
              </w:rPr>
              <w:t>; FCP/INCO/097/16E</w:t>
            </w:r>
            <w:r w:rsidRPr="003318C5">
              <w:rPr>
                <w:b/>
                <w:sz w:val="20"/>
                <w:szCs w:val="20"/>
              </w:rPr>
              <w:t>)</w:t>
            </w:r>
          </w:p>
        </w:tc>
        <w:tc>
          <w:tcPr>
            <w:tcW w:w="1119" w:type="pct"/>
            <w:tcBorders>
              <w:top w:val="single" w:sz="4" w:space="0" w:color="auto"/>
              <w:left w:val="single" w:sz="4" w:space="0" w:color="auto"/>
              <w:bottom w:val="single" w:sz="4" w:space="0" w:color="auto"/>
              <w:right w:val="single" w:sz="4" w:space="0" w:color="auto"/>
            </w:tcBorders>
          </w:tcPr>
          <w:p w:rsidR="00C05FB2" w:rsidRDefault="00C05FB2" w:rsidP="00C05FB2">
            <w:pPr>
              <w:rPr>
                <w:sz w:val="20"/>
                <w:szCs w:val="20"/>
              </w:rPr>
            </w:pP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t>Greece</w:t>
            </w:r>
          </w:p>
        </w:tc>
        <w:tc>
          <w:tcPr>
            <w:tcW w:w="389" w:type="pct"/>
          </w:tcPr>
          <w:p w:rsidR="00C05FB2" w:rsidRPr="00AB27B4" w:rsidRDefault="00C05FB2" w:rsidP="00C05FB2">
            <w:pPr>
              <w:rPr>
                <w:sz w:val="20"/>
                <w:szCs w:val="20"/>
              </w:rPr>
            </w:pPr>
            <w:r w:rsidRPr="00AB27B4">
              <w:rPr>
                <w:sz w:val="20"/>
                <w:szCs w:val="20"/>
              </w:rPr>
              <w:t xml:space="preserve">Milk and milk used </w:t>
            </w:r>
            <w:r w:rsidR="006C1D05">
              <w:rPr>
                <w:sz w:val="20"/>
                <w:szCs w:val="20"/>
              </w:rPr>
              <w:t xml:space="preserve">as ingredient </w:t>
            </w:r>
            <w:r w:rsidRPr="00AB27B4">
              <w:rPr>
                <w:sz w:val="20"/>
                <w:szCs w:val="20"/>
              </w:rPr>
              <w:t>in dairy products</w:t>
            </w:r>
          </w:p>
        </w:tc>
        <w:tc>
          <w:tcPr>
            <w:tcW w:w="946" w:type="pct"/>
          </w:tcPr>
          <w:p w:rsidR="00C05FB2" w:rsidRPr="006C1D05" w:rsidRDefault="006C1D05" w:rsidP="006C1D05">
            <w:pPr>
              <w:rPr>
                <w:sz w:val="20"/>
                <w:szCs w:val="20"/>
              </w:rPr>
            </w:pPr>
            <w:r>
              <w:rPr>
                <w:sz w:val="20"/>
                <w:szCs w:val="20"/>
              </w:rPr>
              <w:t>The draft decree r</w:t>
            </w:r>
            <w:r w:rsidR="00C05FB2" w:rsidRPr="006C1D05">
              <w:rPr>
                <w:sz w:val="20"/>
                <w:szCs w:val="20"/>
              </w:rPr>
              <w:t xml:space="preserve">equires the labelling of the country of milking, processing and packaging of milk and milk as an ingredient in dairy products. However, under certain conditions, it allows to use the indications "Origin: (name of country)", and "EU" or "Outside the EU". </w:t>
            </w:r>
          </w:p>
          <w:p w:rsidR="00C05FB2" w:rsidRDefault="00C05FB2" w:rsidP="00C05FB2">
            <w:pPr>
              <w:rPr>
                <w:sz w:val="20"/>
                <w:szCs w:val="20"/>
              </w:rPr>
            </w:pPr>
          </w:p>
          <w:p w:rsidR="006C1D05" w:rsidRDefault="006C1D05" w:rsidP="00C05FB2">
            <w:pPr>
              <w:rPr>
                <w:sz w:val="20"/>
                <w:szCs w:val="20"/>
              </w:rPr>
            </w:pPr>
            <w:r>
              <w:rPr>
                <w:sz w:val="20"/>
                <w:szCs w:val="20"/>
              </w:rPr>
              <w:t>The draft decree is not presented as an experiment limited in time.</w:t>
            </w:r>
          </w:p>
          <w:p w:rsidR="006C1D05" w:rsidRDefault="006C1D05" w:rsidP="00C05FB2">
            <w:pPr>
              <w:rPr>
                <w:sz w:val="20"/>
                <w:szCs w:val="20"/>
              </w:rPr>
            </w:pPr>
          </w:p>
          <w:p w:rsidR="00C05FB2" w:rsidRPr="003318C5" w:rsidRDefault="00C05FB2" w:rsidP="00C05FB2">
            <w:pPr>
              <w:rPr>
                <w:sz w:val="20"/>
                <w:szCs w:val="20"/>
              </w:rPr>
            </w:pPr>
            <w:r w:rsidRPr="003318C5">
              <w:rPr>
                <w:b/>
                <w:sz w:val="20"/>
                <w:szCs w:val="20"/>
              </w:rPr>
              <w:t>See FCP/INCO/087/16E</w:t>
            </w:r>
            <w:r w:rsidR="006C1D05" w:rsidRPr="003318C5">
              <w:rPr>
                <w:b/>
                <w:sz w:val="20"/>
                <w:szCs w:val="20"/>
              </w:rPr>
              <w:t xml:space="preserve"> – Rev.1</w:t>
            </w:r>
            <w:r w:rsidRPr="003318C5">
              <w:rPr>
                <w:sz w:val="20"/>
                <w:szCs w:val="20"/>
              </w:rPr>
              <w:t xml:space="preserve">. </w:t>
            </w:r>
          </w:p>
          <w:p w:rsidR="00C05FB2" w:rsidRPr="00860E10" w:rsidRDefault="00C05FB2" w:rsidP="00C05FB2">
            <w:pPr>
              <w:rPr>
                <w:sz w:val="20"/>
                <w:szCs w:val="20"/>
              </w:rPr>
            </w:pPr>
          </w:p>
        </w:tc>
        <w:tc>
          <w:tcPr>
            <w:tcW w:w="660" w:type="pct"/>
          </w:tcPr>
          <w:p w:rsidR="00C05FB2" w:rsidRPr="003D65AE" w:rsidRDefault="006C1D05" w:rsidP="00C05FB2">
            <w:pPr>
              <w:rPr>
                <w:sz w:val="20"/>
                <w:szCs w:val="20"/>
              </w:rPr>
            </w:pPr>
            <w:r w:rsidRPr="003D65AE">
              <w:rPr>
                <w:sz w:val="20"/>
                <w:szCs w:val="20"/>
              </w:rPr>
              <w:t>Date of notification u</w:t>
            </w:r>
            <w:r w:rsidR="00C05FB2" w:rsidRPr="003D65AE">
              <w:rPr>
                <w:sz w:val="20"/>
                <w:szCs w:val="20"/>
              </w:rPr>
              <w:t>nknown</w:t>
            </w:r>
          </w:p>
          <w:p w:rsidR="00DF12D4" w:rsidRPr="003D65AE" w:rsidRDefault="00DF12D4" w:rsidP="00C05FB2">
            <w:pPr>
              <w:rPr>
                <w:sz w:val="20"/>
                <w:szCs w:val="20"/>
              </w:rPr>
            </w:pPr>
          </w:p>
          <w:p w:rsidR="00B76200" w:rsidRPr="003D65AE" w:rsidRDefault="00B76200" w:rsidP="00B76200">
            <w:pPr>
              <w:rPr>
                <w:sz w:val="20"/>
                <w:szCs w:val="20"/>
              </w:rPr>
            </w:pPr>
            <w:r w:rsidRPr="003D65AE">
              <w:rPr>
                <w:sz w:val="20"/>
                <w:szCs w:val="20"/>
              </w:rPr>
              <w:t>The EC has not raised any objections within the deadline (end of December 2016).</w:t>
            </w:r>
          </w:p>
          <w:p w:rsidR="00B76200" w:rsidRPr="003D65AE" w:rsidRDefault="00B76200" w:rsidP="00C05FB2">
            <w:pPr>
              <w:rPr>
                <w:sz w:val="20"/>
                <w:szCs w:val="20"/>
              </w:rPr>
            </w:pPr>
          </w:p>
          <w:p w:rsidR="00DF12D4" w:rsidRPr="003D65AE" w:rsidRDefault="00DF12D4" w:rsidP="00B76200">
            <w:pPr>
              <w:rPr>
                <w:sz w:val="20"/>
                <w:szCs w:val="20"/>
              </w:rPr>
            </w:pPr>
          </w:p>
        </w:tc>
        <w:tc>
          <w:tcPr>
            <w:tcW w:w="407" w:type="pct"/>
          </w:tcPr>
          <w:p w:rsidR="00C05FB2" w:rsidRPr="00AB27B4" w:rsidRDefault="00C05FB2" w:rsidP="00C05FB2">
            <w:pPr>
              <w:rPr>
                <w:sz w:val="20"/>
                <w:szCs w:val="20"/>
              </w:rPr>
            </w:pPr>
            <w:r w:rsidRPr="00AB27B4">
              <w:rPr>
                <w:sz w:val="20"/>
                <w:szCs w:val="20"/>
              </w:rPr>
              <w:t>Unknown</w:t>
            </w:r>
          </w:p>
        </w:tc>
        <w:tc>
          <w:tcPr>
            <w:tcW w:w="1103" w:type="pct"/>
          </w:tcPr>
          <w:p w:rsidR="00C05FB2" w:rsidRPr="00AB27B4" w:rsidRDefault="00C05FB2" w:rsidP="00C05FB2">
            <w:pPr>
              <w:rPr>
                <w:sz w:val="20"/>
                <w:szCs w:val="20"/>
              </w:rPr>
            </w:pPr>
            <w:r>
              <w:rPr>
                <w:sz w:val="20"/>
                <w:szCs w:val="20"/>
              </w:rPr>
              <w:t>This</w:t>
            </w:r>
            <w:r w:rsidRPr="00794CD1">
              <w:rPr>
                <w:sz w:val="20"/>
                <w:szCs w:val="20"/>
              </w:rPr>
              <w:t xml:space="preserve"> draft decree ha</w:t>
            </w:r>
            <w:r>
              <w:rPr>
                <w:sz w:val="20"/>
                <w:szCs w:val="20"/>
              </w:rPr>
              <w:t>s</w:t>
            </w:r>
            <w:r w:rsidRPr="00794CD1">
              <w:rPr>
                <w:sz w:val="20"/>
                <w:szCs w:val="20"/>
              </w:rPr>
              <w:t xml:space="preserve"> been discussed in the Standing Committee of 10 October 2016 </w:t>
            </w:r>
            <w:r w:rsidRPr="003318C5">
              <w:rPr>
                <w:b/>
                <w:sz w:val="20"/>
                <w:szCs w:val="20"/>
              </w:rPr>
              <w:t>(see FCP/INCO/093/16E</w:t>
            </w:r>
            <w:r w:rsidR="006C1D05" w:rsidRPr="003318C5">
              <w:rPr>
                <w:b/>
                <w:sz w:val="20"/>
                <w:szCs w:val="20"/>
              </w:rPr>
              <w:t>; FCP/INCO/097/16E</w:t>
            </w:r>
            <w:r w:rsidRPr="003318C5">
              <w:rPr>
                <w:b/>
                <w:sz w:val="20"/>
                <w:szCs w:val="20"/>
              </w:rPr>
              <w:t>)</w:t>
            </w:r>
          </w:p>
        </w:tc>
        <w:tc>
          <w:tcPr>
            <w:tcW w:w="1119" w:type="pct"/>
            <w:tcBorders>
              <w:top w:val="single" w:sz="4" w:space="0" w:color="auto"/>
              <w:left w:val="single" w:sz="4" w:space="0" w:color="auto"/>
              <w:bottom w:val="single" w:sz="4" w:space="0" w:color="auto"/>
              <w:right w:val="single" w:sz="4" w:space="0" w:color="auto"/>
            </w:tcBorders>
          </w:tcPr>
          <w:p w:rsidR="00C05FB2" w:rsidRDefault="00C05FB2" w:rsidP="00C05FB2">
            <w:pPr>
              <w:rPr>
                <w:sz w:val="20"/>
                <w:szCs w:val="20"/>
              </w:rPr>
            </w:pPr>
          </w:p>
        </w:tc>
      </w:tr>
      <w:tr w:rsidR="007D33A0" w:rsidRPr="00AB27B4" w:rsidTr="00417894">
        <w:trPr>
          <w:trHeight w:val="1544"/>
        </w:trPr>
        <w:tc>
          <w:tcPr>
            <w:tcW w:w="376" w:type="pct"/>
            <w:shd w:val="clear" w:color="auto" w:fill="DEEAF6" w:themeFill="accent1" w:themeFillTint="33"/>
          </w:tcPr>
          <w:p w:rsidR="00C05FB2" w:rsidRPr="00AB27B4" w:rsidRDefault="00C05FB2" w:rsidP="00C05FB2">
            <w:pPr>
              <w:rPr>
                <w:b/>
                <w:szCs w:val="20"/>
              </w:rPr>
            </w:pPr>
            <w:r w:rsidRPr="00AB27B4">
              <w:rPr>
                <w:b/>
                <w:szCs w:val="20"/>
              </w:rPr>
              <w:lastRenderedPageBreak/>
              <w:t>Romania</w:t>
            </w:r>
          </w:p>
        </w:tc>
        <w:tc>
          <w:tcPr>
            <w:tcW w:w="389" w:type="pct"/>
          </w:tcPr>
          <w:p w:rsidR="00C05FB2" w:rsidRPr="00AB27B4" w:rsidRDefault="00C05FB2" w:rsidP="00F1683B">
            <w:pPr>
              <w:rPr>
                <w:sz w:val="20"/>
                <w:szCs w:val="20"/>
              </w:rPr>
            </w:pPr>
            <w:r w:rsidRPr="00AB27B4">
              <w:rPr>
                <w:sz w:val="20"/>
                <w:szCs w:val="20"/>
              </w:rPr>
              <w:t>Milk and dairy products</w:t>
            </w:r>
          </w:p>
        </w:tc>
        <w:tc>
          <w:tcPr>
            <w:tcW w:w="946" w:type="pct"/>
            <w:shd w:val="clear" w:color="auto" w:fill="auto"/>
          </w:tcPr>
          <w:p w:rsidR="00C05FB2" w:rsidRPr="00F1683B" w:rsidRDefault="00F1683B" w:rsidP="00F1683B">
            <w:pPr>
              <w:jc w:val="both"/>
              <w:rPr>
                <w:sz w:val="20"/>
                <w:szCs w:val="20"/>
              </w:rPr>
            </w:pPr>
            <w:r>
              <w:rPr>
                <w:rFonts w:cs="Arial"/>
                <w:sz w:val="20"/>
                <w:szCs w:val="20"/>
                <w:lang w:val="en-US" w:eastAsia="fr-BE"/>
              </w:rPr>
              <w:t xml:space="preserve">The Law requires the </w:t>
            </w:r>
            <w:r w:rsidRPr="00F1683B">
              <w:rPr>
                <w:rFonts w:cs="Arial"/>
                <w:sz w:val="20"/>
                <w:szCs w:val="20"/>
                <w:lang w:val="en-US" w:eastAsia="fr-BE"/>
              </w:rPr>
              <w:t>country of origin and the place of provenance of raw milk, which is raw material for consumption</w:t>
            </w:r>
            <w:r w:rsidR="00C05FB2" w:rsidRPr="00C15D4F">
              <w:rPr>
                <w:rFonts w:cs="Arial"/>
                <w:sz w:val="20"/>
                <w:szCs w:val="20"/>
                <w:lang w:val="en-US" w:eastAsia="fr-BE"/>
              </w:rPr>
              <w:t xml:space="preserve">. </w:t>
            </w:r>
            <w:r>
              <w:rPr>
                <w:sz w:val="20"/>
                <w:szCs w:val="20"/>
              </w:rPr>
              <w:t xml:space="preserve">It also </w:t>
            </w:r>
            <w:r w:rsidR="00C05FB2" w:rsidRPr="00F1683B">
              <w:rPr>
                <w:rFonts w:cs="Arial"/>
                <w:sz w:val="20"/>
                <w:szCs w:val="20"/>
                <w:lang w:val="en-US" w:eastAsia="fr-BE"/>
              </w:rPr>
              <w:t>lays down conditions for the use of the indication "Romanian product" and makes it mandatory to indicate the percentage of milk powder used in dairy products.</w:t>
            </w:r>
          </w:p>
          <w:p w:rsidR="00C05FB2" w:rsidRDefault="00C05FB2" w:rsidP="00C05FB2">
            <w:pPr>
              <w:jc w:val="both"/>
              <w:rPr>
                <w:sz w:val="20"/>
                <w:szCs w:val="20"/>
              </w:rPr>
            </w:pPr>
          </w:p>
          <w:p w:rsidR="004F2F72" w:rsidRDefault="00BD6053" w:rsidP="00C05FB2">
            <w:pPr>
              <w:jc w:val="both"/>
              <w:rPr>
                <w:b/>
                <w:sz w:val="20"/>
                <w:szCs w:val="20"/>
              </w:rPr>
            </w:pPr>
            <w:r>
              <w:rPr>
                <w:b/>
                <w:sz w:val="20"/>
                <w:szCs w:val="20"/>
              </w:rPr>
              <w:t>See FCP/INCO/003</w:t>
            </w:r>
            <w:r w:rsidR="00C05FB2" w:rsidRPr="003318C5">
              <w:rPr>
                <w:b/>
                <w:sz w:val="20"/>
                <w:szCs w:val="20"/>
              </w:rPr>
              <w:t>/1</w:t>
            </w:r>
            <w:r>
              <w:rPr>
                <w:b/>
                <w:sz w:val="20"/>
                <w:szCs w:val="20"/>
              </w:rPr>
              <w:t>7</w:t>
            </w:r>
            <w:r w:rsidR="00C05FB2" w:rsidRPr="003318C5">
              <w:rPr>
                <w:b/>
                <w:sz w:val="20"/>
                <w:szCs w:val="20"/>
              </w:rPr>
              <w:t>E</w:t>
            </w:r>
            <w:r>
              <w:rPr>
                <w:b/>
                <w:sz w:val="20"/>
                <w:szCs w:val="20"/>
              </w:rPr>
              <w:t>-Rev.1</w:t>
            </w:r>
          </w:p>
          <w:p w:rsidR="004F2F72" w:rsidRDefault="004F2F72" w:rsidP="00C05FB2">
            <w:pPr>
              <w:jc w:val="both"/>
              <w:rPr>
                <w:b/>
                <w:sz w:val="20"/>
                <w:szCs w:val="20"/>
              </w:rPr>
            </w:pPr>
          </w:p>
          <w:p w:rsidR="00256A08" w:rsidRPr="00512B9C" w:rsidRDefault="00256A08" w:rsidP="00C05FB2">
            <w:pPr>
              <w:jc w:val="both"/>
              <w:rPr>
                <w:b/>
                <w:sz w:val="20"/>
                <w:szCs w:val="20"/>
              </w:rPr>
            </w:pPr>
          </w:p>
        </w:tc>
        <w:tc>
          <w:tcPr>
            <w:tcW w:w="660" w:type="pct"/>
          </w:tcPr>
          <w:p w:rsidR="00C05FB2" w:rsidRPr="00FE1230" w:rsidRDefault="009C4AFE" w:rsidP="00C05FB2">
            <w:pPr>
              <w:rPr>
                <w:sz w:val="20"/>
                <w:szCs w:val="20"/>
              </w:rPr>
            </w:pPr>
            <w:r w:rsidRPr="00FE1230">
              <w:rPr>
                <w:sz w:val="20"/>
                <w:szCs w:val="20"/>
              </w:rPr>
              <w:t>Notified on 20 February 2017 (art. 45 FIC Regulation)</w:t>
            </w:r>
          </w:p>
          <w:p w:rsidR="00BD6053" w:rsidRPr="00FE1230" w:rsidRDefault="00BD6053" w:rsidP="00C05FB2">
            <w:pPr>
              <w:rPr>
                <w:sz w:val="20"/>
                <w:szCs w:val="20"/>
              </w:rPr>
            </w:pPr>
          </w:p>
          <w:p w:rsidR="00BD6053" w:rsidRPr="00FE1230" w:rsidRDefault="00BD6053" w:rsidP="00C05FB2">
            <w:pPr>
              <w:rPr>
                <w:sz w:val="20"/>
                <w:szCs w:val="20"/>
              </w:rPr>
            </w:pPr>
            <w:r w:rsidRPr="00FE1230">
              <w:rPr>
                <w:sz w:val="20"/>
                <w:szCs w:val="20"/>
              </w:rPr>
              <w:t>Discussed in the Standing Committee of March 2017</w:t>
            </w:r>
          </w:p>
          <w:p w:rsidR="00BD6053" w:rsidRDefault="00BD6053" w:rsidP="00C05FB2">
            <w:pPr>
              <w:rPr>
                <w:color w:val="FF0000"/>
                <w:sz w:val="20"/>
                <w:szCs w:val="20"/>
              </w:rPr>
            </w:pPr>
          </w:p>
          <w:p w:rsidR="00BD6053" w:rsidRPr="00AB27B4" w:rsidRDefault="00BD6053" w:rsidP="00C05FB2">
            <w:pPr>
              <w:rPr>
                <w:sz w:val="20"/>
                <w:szCs w:val="20"/>
              </w:rPr>
            </w:pPr>
          </w:p>
        </w:tc>
        <w:tc>
          <w:tcPr>
            <w:tcW w:w="407" w:type="pct"/>
          </w:tcPr>
          <w:p w:rsidR="00C05FB2" w:rsidRDefault="00C05FB2" w:rsidP="00C05FB2">
            <w:pPr>
              <w:rPr>
                <w:sz w:val="20"/>
                <w:szCs w:val="20"/>
              </w:rPr>
            </w:pPr>
            <w:r w:rsidRPr="00AB27B4">
              <w:rPr>
                <w:sz w:val="20"/>
                <w:szCs w:val="20"/>
              </w:rPr>
              <w:t>3 August 2016</w:t>
            </w:r>
          </w:p>
          <w:p w:rsidR="007207B2" w:rsidRDefault="007207B2" w:rsidP="00C05FB2">
            <w:pPr>
              <w:rPr>
                <w:sz w:val="20"/>
                <w:szCs w:val="20"/>
              </w:rPr>
            </w:pPr>
          </w:p>
          <w:p w:rsidR="007207B2" w:rsidRDefault="007207B2" w:rsidP="007207B2">
            <w:pPr>
              <w:rPr>
                <w:sz w:val="20"/>
                <w:szCs w:val="20"/>
              </w:rPr>
            </w:pPr>
            <w:r>
              <w:rPr>
                <w:sz w:val="20"/>
                <w:szCs w:val="20"/>
              </w:rPr>
              <w:t xml:space="preserve">However, lacking the notification to the EC, the provisions have been put </w:t>
            </w:r>
            <w:r w:rsidR="00F1683B">
              <w:rPr>
                <w:sz w:val="20"/>
                <w:szCs w:val="20"/>
              </w:rPr>
              <w:t>“</w:t>
            </w:r>
            <w:r>
              <w:rPr>
                <w:sz w:val="20"/>
                <w:szCs w:val="20"/>
              </w:rPr>
              <w:t>on hold</w:t>
            </w:r>
            <w:r w:rsidR="00F1683B">
              <w:rPr>
                <w:sz w:val="20"/>
                <w:szCs w:val="20"/>
              </w:rPr>
              <w:t>”</w:t>
            </w:r>
            <w:r>
              <w:rPr>
                <w:sz w:val="20"/>
                <w:szCs w:val="20"/>
              </w:rPr>
              <w:t xml:space="preserve"> </w:t>
            </w:r>
          </w:p>
          <w:p w:rsidR="007207B2" w:rsidRPr="00AB27B4" w:rsidRDefault="007207B2" w:rsidP="007207B2">
            <w:pPr>
              <w:rPr>
                <w:sz w:val="20"/>
                <w:szCs w:val="20"/>
              </w:rPr>
            </w:pPr>
          </w:p>
        </w:tc>
        <w:tc>
          <w:tcPr>
            <w:tcW w:w="1103" w:type="pct"/>
            <w:shd w:val="clear" w:color="auto" w:fill="auto"/>
          </w:tcPr>
          <w:p w:rsidR="004F2F72" w:rsidRDefault="00C05FB2" w:rsidP="004F2F72">
            <w:pPr>
              <w:jc w:val="both"/>
              <w:rPr>
                <w:rFonts w:cs="Arial"/>
                <w:sz w:val="20"/>
                <w:szCs w:val="20"/>
                <w:lang w:val="en-US" w:eastAsia="fr-BE"/>
              </w:rPr>
            </w:pPr>
            <w:r w:rsidRPr="00AB27B4">
              <w:rPr>
                <w:rFonts w:cs="Arial"/>
                <w:sz w:val="20"/>
                <w:szCs w:val="20"/>
                <w:lang w:val="en-US" w:eastAsia="fr-BE"/>
              </w:rPr>
              <w:t xml:space="preserve">Further to this, legislation on food marketing </w:t>
            </w:r>
            <w:r w:rsidR="007207B2">
              <w:rPr>
                <w:rFonts w:cs="Arial"/>
                <w:sz w:val="20"/>
                <w:szCs w:val="20"/>
                <w:lang w:val="en-US" w:eastAsia="fr-BE"/>
              </w:rPr>
              <w:t xml:space="preserve">was adopted </w:t>
            </w:r>
            <w:r w:rsidRPr="00AB27B4">
              <w:rPr>
                <w:rFonts w:cs="Arial"/>
                <w:sz w:val="20"/>
                <w:szCs w:val="20"/>
                <w:lang w:val="en-US" w:eastAsia="fr-BE"/>
              </w:rPr>
              <w:t>in Romania. Among</w:t>
            </w:r>
            <w:r>
              <w:rPr>
                <w:rFonts w:cs="Arial"/>
                <w:sz w:val="20"/>
                <w:szCs w:val="20"/>
                <w:lang w:val="en-US" w:eastAsia="fr-BE"/>
              </w:rPr>
              <w:t>st</w:t>
            </w:r>
            <w:r w:rsidRPr="00AB27B4">
              <w:rPr>
                <w:rFonts w:cs="Arial"/>
                <w:sz w:val="20"/>
                <w:szCs w:val="20"/>
                <w:lang w:val="en-US" w:eastAsia="fr-BE"/>
              </w:rPr>
              <w:t xml:space="preserve"> others, this legislation would oblige supermarkets to dedicate at least 51% of their shelves to food from short supply chains. It would also include rules on origin labelling for meat.</w:t>
            </w:r>
            <w:r w:rsidR="004F2F72">
              <w:rPr>
                <w:rFonts w:cs="Arial"/>
                <w:sz w:val="20"/>
                <w:szCs w:val="20"/>
                <w:lang w:val="en-US" w:eastAsia="fr-BE"/>
              </w:rPr>
              <w:t xml:space="preserve"> </w:t>
            </w:r>
          </w:p>
          <w:p w:rsidR="00C05FB2" w:rsidRDefault="004F2F72" w:rsidP="004F2F72">
            <w:pPr>
              <w:jc w:val="both"/>
              <w:rPr>
                <w:rFonts w:cs="Arial"/>
                <w:sz w:val="20"/>
                <w:szCs w:val="20"/>
                <w:lang w:val="en-US" w:eastAsia="fr-BE"/>
              </w:rPr>
            </w:pPr>
            <w:r>
              <w:rPr>
                <w:rFonts w:cs="Arial"/>
                <w:sz w:val="20"/>
                <w:szCs w:val="20"/>
                <w:lang w:val="en-US" w:eastAsia="fr-BE"/>
              </w:rPr>
              <w:t xml:space="preserve">Also in this case, the rules on origin labelling have been put “on hold”, </w:t>
            </w:r>
            <w:r w:rsidRPr="004F2F72">
              <w:rPr>
                <w:rFonts w:cs="Arial"/>
                <w:sz w:val="20"/>
                <w:szCs w:val="20"/>
                <w:lang w:val="en-US" w:eastAsia="fr-BE"/>
              </w:rPr>
              <w:t>lac</w:t>
            </w:r>
            <w:r>
              <w:rPr>
                <w:rFonts w:cs="Arial"/>
                <w:sz w:val="20"/>
                <w:szCs w:val="20"/>
                <w:lang w:val="en-US" w:eastAsia="fr-BE"/>
              </w:rPr>
              <w:t>king the notification to the EC.</w:t>
            </w:r>
          </w:p>
          <w:p w:rsidR="004F2F72" w:rsidRDefault="004F2F72" w:rsidP="004F2F72">
            <w:pPr>
              <w:jc w:val="both"/>
              <w:rPr>
                <w:rFonts w:cs="Arial"/>
                <w:sz w:val="20"/>
                <w:szCs w:val="20"/>
                <w:lang w:val="en-US" w:eastAsia="fr-BE"/>
              </w:rPr>
            </w:pPr>
          </w:p>
          <w:p w:rsidR="004F2F72" w:rsidRDefault="004F2F72" w:rsidP="003318C5">
            <w:pPr>
              <w:jc w:val="both"/>
              <w:rPr>
                <w:b/>
                <w:sz w:val="20"/>
                <w:szCs w:val="20"/>
              </w:rPr>
            </w:pPr>
            <w:r w:rsidRPr="003318C5">
              <w:rPr>
                <w:b/>
                <w:sz w:val="20"/>
                <w:szCs w:val="20"/>
              </w:rPr>
              <w:t>See FCP/INCO/078/16E</w:t>
            </w:r>
          </w:p>
          <w:p w:rsidR="009C4AFE" w:rsidRDefault="009C4AFE" w:rsidP="003318C5">
            <w:pPr>
              <w:jc w:val="both"/>
              <w:rPr>
                <w:b/>
                <w:sz w:val="20"/>
                <w:szCs w:val="20"/>
              </w:rPr>
            </w:pPr>
          </w:p>
          <w:p w:rsidR="009C4AFE" w:rsidRPr="00BD6053" w:rsidRDefault="009C4AFE" w:rsidP="003318C5">
            <w:pPr>
              <w:jc w:val="both"/>
              <w:rPr>
                <w:sz w:val="20"/>
                <w:szCs w:val="20"/>
              </w:rPr>
            </w:pPr>
            <w:r w:rsidRPr="00BD6053">
              <w:rPr>
                <w:sz w:val="20"/>
                <w:szCs w:val="20"/>
              </w:rPr>
              <w:t xml:space="preserve">It is understood that the Commission has </w:t>
            </w:r>
            <w:r w:rsidR="00361254" w:rsidRPr="00BD6053">
              <w:rPr>
                <w:sz w:val="20"/>
                <w:szCs w:val="20"/>
              </w:rPr>
              <w:t xml:space="preserve">started </w:t>
            </w:r>
            <w:r w:rsidRPr="00BD6053">
              <w:rPr>
                <w:sz w:val="20"/>
                <w:szCs w:val="20"/>
              </w:rPr>
              <w:t xml:space="preserve">an infringement </w:t>
            </w:r>
            <w:r w:rsidR="009852DC" w:rsidRPr="00BD6053">
              <w:rPr>
                <w:sz w:val="20"/>
                <w:szCs w:val="20"/>
              </w:rPr>
              <w:t xml:space="preserve">procedure </w:t>
            </w:r>
            <w:r w:rsidRPr="00BD6053">
              <w:rPr>
                <w:sz w:val="20"/>
                <w:szCs w:val="20"/>
              </w:rPr>
              <w:t xml:space="preserve">against this law. </w:t>
            </w:r>
          </w:p>
          <w:p w:rsidR="009C4AFE" w:rsidRPr="00AB27B4" w:rsidRDefault="009C4AFE" w:rsidP="003318C5">
            <w:pPr>
              <w:jc w:val="both"/>
              <w:rPr>
                <w:sz w:val="20"/>
                <w:szCs w:val="20"/>
              </w:rPr>
            </w:pPr>
          </w:p>
        </w:tc>
        <w:tc>
          <w:tcPr>
            <w:tcW w:w="1119" w:type="pct"/>
            <w:tcBorders>
              <w:top w:val="single" w:sz="4" w:space="0" w:color="auto"/>
              <w:left w:val="single" w:sz="4" w:space="0" w:color="auto"/>
              <w:bottom w:val="single" w:sz="4" w:space="0" w:color="auto"/>
              <w:right w:val="single" w:sz="4" w:space="0" w:color="auto"/>
            </w:tcBorders>
            <w:shd w:val="clear" w:color="auto" w:fill="auto"/>
          </w:tcPr>
          <w:p w:rsidR="00C05FB2" w:rsidRPr="007207B2" w:rsidRDefault="00C05FB2" w:rsidP="00C05FB2">
            <w:pPr>
              <w:pStyle w:val="ListParagraph"/>
              <w:numPr>
                <w:ilvl w:val="0"/>
                <w:numId w:val="14"/>
              </w:numPr>
              <w:rPr>
                <w:b/>
                <w:sz w:val="20"/>
                <w:szCs w:val="20"/>
              </w:rPr>
            </w:pPr>
            <w:r w:rsidRPr="003318C5">
              <w:rPr>
                <w:b/>
                <w:sz w:val="20"/>
                <w:szCs w:val="20"/>
              </w:rPr>
              <w:t>E-mail to the European Commission (DG SANTE and DG GROW)</w:t>
            </w: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t>Portugal</w:t>
            </w:r>
          </w:p>
        </w:tc>
        <w:tc>
          <w:tcPr>
            <w:tcW w:w="389" w:type="pct"/>
          </w:tcPr>
          <w:p w:rsidR="00C05FB2" w:rsidRPr="00AB27B4" w:rsidRDefault="00C05FB2" w:rsidP="00C05FB2">
            <w:pPr>
              <w:rPr>
                <w:sz w:val="20"/>
                <w:szCs w:val="20"/>
              </w:rPr>
            </w:pPr>
            <w:r w:rsidRPr="00AB27B4">
              <w:rPr>
                <w:sz w:val="20"/>
                <w:szCs w:val="20"/>
              </w:rPr>
              <w:t>Milk and milk used in dairy products</w:t>
            </w:r>
          </w:p>
        </w:tc>
        <w:tc>
          <w:tcPr>
            <w:tcW w:w="946" w:type="pct"/>
          </w:tcPr>
          <w:p w:rsidR="00C05FB2" w:rsidRPr="00245C74" w:rsidRDefault="00245C74" w:rsidP="00245C74">
            <w:pPr>
              <w:tabs>
                <w:tab w:val="left" w:pos="342"/>
              </w:tabs>
              <w:jc w:val="both"/>
              <w:rPr>
                <w:rFonts w:cs="Arial"/>
                <w:sz w:val="20"/>
                <w:szCs w:val="20"/>
                <w:lang w:val="en-US" w:eastAsia="fr-BE"/>
              </w:rPr>
            </w:pPr>
            <w:r>
              <w:rPr>
                <w:rFonts w:cs="Arial"/>
                <w:sz w:val="20"/>
                <w:szCs w:val="20"/>
                <w:lang w:val="en-US" w:eastAsia="fr-BE"/>
              </w:rPr>
              <w:t xml:space="preserve">The draft decree </w:t>
            </w:r>
            <w:r w:rsidR="00C05FB2">
              <w:rPr>
                <w:rFonts w:cs="Arial"/>
                <w:sz w:val="20"/>
                <w:szCs w:val="20"/>
                <w:lang w:val="en-US" w:eastAsia="fr-BE"/>
              </w:rPr>
              <w:t>r</w:t>
            </w:r>
            <w:r w:rsidR="00C05FB2" w:rsidRPr="00AB27B4">
              <w:rPr>
                <w:rFonts w:cs="Arial"/>
                <w:sz w:val="20"/>
                <w:szCs w:val="20"/>
                <w:lang w:val="en-US" w:eastAsia="fr-BE"/>
              </w:rPr>
              <w:t xml:space="preserve">equires the indication of the “Country of milking” and of the “Country of processing” for milk or milk used in dairy products. The possibility of only indicating “EU”, “non EU”, “EU and non EU” is given in certain cases. </w:t>
            </w:r>
          </w:p>
          <w:p w:rsidR="00C05FB2" w:rsidRDefault="00C05FB2" w:rsidP="00C05FB2">
            <w:pPr>
              <w:tabs>
                <w:tab w:val="left" w:pos="342"/>
              </w:tabs>
              <w:jc w:val="both"/>
              <w:rPr>
                <w:rFonts w:cs="Arial"/>
                <w:sz w:val="20"/>
                <w:szCs w:val="20"/>
                <w:lang w:val="en-US" w:eastAsia="fr-BE"/>
              </w:rPr>
            </w:pPr>
          </w:p>
          <w:p w:rsidR="00256A08" w:rsidRDefault="00256A08" w:rsidP="00C05FB2">
            <w:pPr>
              <w:tabs>
                <w:tab w:val="left" w:pos="342"/>
              </w:tabs>
              <w:jc w:val="both"/>
              <w:rPr>
                <w:rFonts w:cs="Arial"/>
                <w:sz w:val="20"/>
                <w:szCs w:val="20"/>
                <w:lang w:val="en-US" w:eastAsia="fr-BE"/>
              </w:rPr>
            </w:pPr>
            <w:r>
              <w:rPr>
                <w:rFonts w:cs="Arial"/>
                <w:sz w:val="20"/>
                <w:szCs w:val="20"/>
                <w:lang w:val="en-US" w:eastAsia="fr-BE"/>
              </w:rPr>
              <w:t xml:space="preserve">The </w:t>
            </w:r>
            <w:r w:rsidR="007207B2">
              <w:rPr>
                <w:rFonts w:cs="Arial"/>
                <w:sz w:val="20"/>
                <w:szCs w:val="20"/>
                <w:lang w:val="en-US" w:eastAsia="fr-BE"/>
              </w:rPr>
              <w:t xml:space="preserve">originally notified </w:t>
            </w:r>
            <w:r>
              <w:rPr>
                <w:rFonts w:cs="Arial"/>
                <w:sz w:val="20"/>
                <w:szCs w:val="20"/>
                <w:lang w:val="en-US" w:eastAsia="fr-BE"/>
              </w:rPr>
              <w:t xml:space="preserve">decree was not an experiment, although a report on its application was to be </w:t>
            </w:r>
            <w:r>
              <w:rPr>
                <w:rFonts w:cs="Arial"/>
                <w:sz w:val="20"/>
                <w:szCs w:val="20"/>
                <w:lang w:val="en-US" w:eastAsia="fr-BE"/>
              </w:rPr>
              <w:lastRenderedPageBreak/>
              <w:t>submitted to the EC.</w:t>
            </w:r>
          </w:p>
          <w:p w:rsidR="00256A08" w:rsidRDefault="00256A08" w:rsidP="00C05FB2">
            <w:pPr>
              <w:tabs>
                <w:tab w:val="left" w:pos="342"/>
              </w:tabs>
              <w:jc w:val="both"/>
              <w:rPr>
                <w:rFonts w:cs="Arial"/>
                <w:sz w:val="20"/>
                <w:szCs w:val="20"/>
                <w:lang w:val="en-US" w:eastAsia="fr-BE"/>
              </w:rPr>
            </w:pPr>
          </w:p>
          <w:p w:rsidR="00256A08" w:rsidRDefault="00C05FB2" w:rsidP="00C05FB2">
            <w:pPr>
              <w:tabs>
                <w:tab w:val="left" w:pos="342"/>
              </w:tabs>
              <w:jc w:val="both"/>
              <w:rPr>
                <w:b/>
                <w:sz w:val="20"/>
                <w:szCs w:val="20"/>
              </w:rPr>
            </w:pPr>
            <w:r w:rsidRPr="003318C5">
              <w:rPr>
                <w:b/>
                <w:sz w:val="20"/>
                <w:szCs w:val="20"/>
              </w:rPr>
              <w:t>See FCP/INCO/074/16E</w:t>
            </w:r>
          </w:p>
          <w:p w:rsidR="0091143D" w:rsidRPr="00C81B0C" w:rsidRDefault="0091143D" w:rsidP="00C05FB2">
            <w:pPr>
              <w:tabs>
                <w:tab w:val="left" w:pos="342"/>
              </w:tabs>
              <w:jc w:val="both"/>
              <w:rPr>
                <w:rFonts w:cs="Arial"/>
                <w:sz w:val="20"/>
                <w:szCs w:val="20"/>
                <w:lang w:val="en-US" w:eastAsia="fr-BE"/>
              </w:rPr>
            </w:pPr>
          </w:p>
        </w:tc>
        <w:tc>
          <w:tcPr>
            <w:tcW w:w="660" w:type="pct"/>
          </w:tcPr>
          <w:p w:rsidR="00C05FB2" w:rsidRDefault="00C05FB2" w:rsidP="00C05FB2">
            <w:pPr>
              <w:rPr>
                <w:sz w:val="20"/>
                <w:szCs w:val="20"/>
              </w:rPr>
            </w:pPr>
            <w:r>
              <w:rPr>
                <w:sz w:val="20"/>
                <w:szCs w:val="20"/>
              </w:rPr>
              <w:lastRenderedPageBreak/>
              <w:t>27</w:t>
            </w:r>
            <w:r w:rsidRPr="00AB27B4">
              <w:rPr>
                <w:sz w:val="20"/>
                <w:szCs w:val="20"/>
              </w:rPr>
              <w:t xml:space="preserve"> July 2016</w:t>
            </w:r>
            <w:r>
              <w:rPr>
                <w:sz w:val="20"/>
                <w:szCs w:val="20"/>
              </w:rPr>
              <w:t xml:space="preserve"> (</w:t>
            </w:r>
            <w:r w:rsidR="00BD6053">
              <w:rPr>
                <w:sz w:val="20"/>
                <w:szCs w:val="20"/>
              </w:rPr>
              <w:t xml:space="preserve">Article </w:t>
            </w:r>
            <w:r>
              <w:rPr>
                <w:sz w:val="20"/>
                <w:szCs w:val="20"/>
              </w:rPr>
              <w:t>45 of 1169/2011)</w:t>
            </w:r>
          </w:p>
          <w:p w:rsidR="00256A08" w:rsidRDefault="00256A08" w:rsidP="00C05FB2">
            <w:pPr>
              <w:rPr>
                <w:sz w:val="20"/>
                <w:szCs w:val="20"/>
              </w:rPr>
            </w:pPr>
          </w:p>
          <w:p w:rsidR="00256A08" w:rsidRDefault="00256A08" w:rsidP="00256A08">
            <w:pPr>
              <w:rPr>
                <w:sz w:val="20"/>
                <w:szCs w:val="20"/>
              </w:rPr>
            </w:pPr>
            <w:r>
              <w:rPr>
                <w:sz w:val="20"/>
                <w:szCs w:val="20"/>
              </w:rPr>
              <w:t>Following the discussions in the Standing Committee the decree has be</w:t>
            </w:r>
            <w:r w:rsidR="00DF12D4">
              <w:rPr>
                <w:sz w:val="20"/>
                <w:szCs w:val="20"/>
              </w:rPr>
              <w:t xml:space="preserve">en modified and notified again. </w:t>
            </w:r>
          </w:p>
          <w:p w:rsidR="00DF12D4" w:rsidRDefault="00DF12D4" w:rsidP="00256A08">
            <w:pPr>
              <w:rPr>
                <w:sz w:val="20"/>
                <w:szCs w:val="20"/>
              </w:rPr>
            </w:pPr>
          </w:p>
          <w:p w:rsidR="00DF12D4" w:rsidRPr="009C4AFE" w:rsidRDefault="00E74FA9" w:rsidP="00256A08">
            <w:pPr>
              <w:rPr>
                <w:sz w:val="20"/>
                <w:szCs w:val="20"/>
              </w:rPr>
            </w:pPr>
            <w:r w:rsidRPr="009C4AFE">
              <w:rPr>
                <w:sz w:val="20"/>
                <w:szCs w:val="20"/>
              </w:rPr>
              <w:t xml:space="preserve">The Commission did not raise any </w:t>
            </w:r>
            <w:r w:rsidRPr="009C4AFE">
              <w:rPr>
                <w:sz w:val="20"/>
                <w:szCs w:val="20"/>
              </w:rPr>
              <w:lastRenderedPageBreak/>
              <w:t xml:space="preserve">objections by the deadline (mid-January 2017). </w:t>
            </w:r>
          </w:p>
          <w:p w:rsidR="00256A08" w:rsidRPr="00AB27B4" w:rsidRDefault="00256A08" w:rsidP="00256A08">
            <w:pPr>
              <w:rPr>
                <w:sz w:val="20"/>
                <w:szCs w:val="20"/>
              </w:rPr>
            </w:pPr>
          </w:p>
        </w:tc>
        <w:tc>
          <w:tcPr>
            <w:tcW w:w="407" w:type="pct"/>
          </w:tcPr>
          <w:p w:rsidR="00C05FB2" w:rsidRPr="006C1D05" w:rsidRDefault="006C1D05" w:rsidP="006C1D05">
            <w:pPr>
              <w:rPr>
                <w:sz w:val="20"/>
                <w:szCs w:val="20"/>
              </w:rPr>
            </w:pPr>
            <w:r w:rsidRPr="006C1D05">
              <w:rPr>
                <w:sz w:val="20"/>
                <w:szCs w:val="20"/>
              </w:rPr>
              <w:lastRenderedPageBreak/>
              <w:t>Unknown</w:t>
            </w:r>
            <w:r w:rsidR="00E74FA9" w:rsidRPr="009C4AFE">
              <w:rPr>
                <w:sz w:val="20"/>
                <w:szCs w:val="20"/>
              </w:rPr>
              <w:t xml:space="preserve"> – expected soon</w:t>
            </w:r>
            <w:r w:rsidRPr="009C4AFE">
              <w:rPr>
                <w:sz w:val="20"/>
                <w:szCs w:val="20"/>
              </w:rPr>
              <w:t xml:space="preserve"> </w:t>
            </w:r>
          </w:p>
        </w:tc>
        <w:tc>
          <w:tcPr>
            <w:tcW w:w="1103" w:type="pct"/>
          </w:tcPr>
          <w:p w:rsidR="00C05FB2" w:rsidRPr="00256A08" w:rsidRDefault="00C05FB2" w:rsidP="00256A08">
            <w:pPr>
              <w:pStyle w:val="ListParagraph"/>
              <w:numPr>
                <w:ilvl w:val="0"/>
                <w:numId w:val="16"/>
              </w:numPr>
              <w:ind w:left="360"/>
              <w:jc w:val="both"/>
              <w:rPr>
                <w:sz w:val="20"/>
                <w:szCs w:val="20"/>
              </w:rPr>
            </w:pPr>
            <w:r w:rsidRPr="00256A08">
              <w:rPr>
                <w:sz w:val="20"/>
                <w:szCs w:val="20"/>
              </w:rPr>
              <w:t>Earlier in 2016, the Portuguese authorities attempted to introduce mandatory origin labelling rules for pork meat.</w:t>
            </w:r>
          </w:p>
          <w:p w:rsidR="00C05FB2" w:rsidRDefault="00C05FB2" w:rsidP="00256A08">
            <w:pPr>
              <w:jc w:val="both"/>
              <w:rPr>
                <w:sz w:val="20"/>
                <w:szCs w:val="20"/>
              </w:rPr>
            </w:pPr>
          </w:p>
          <w:p w:rsidR="00C05FB2" w:rsidRPr="00256A08" w:rsidRDefault="00C05FB2" w:rsidP="00256A08">
            <w:pPr>
              <w:pStyle w:val="ListParagraph"/>
              <w:numPr>
                <w:ilvl w:val="0"/>
                <w:numId w:val="16"/>
              </w:numPr>
              <w:ind w:left="360"/>
              <w:jc w:val="both"/>
              <w:rPr>
                <w:sz w:val="20"/>
                <w:szCs w:val="20"/>
              </w:rPr>
            </w:pPr>
            <w:r w:rsidRPr="00256A08">
              <w:rPr>
                <w:sz w:val="20"/>
                <w:szCs w:val="20"/>
              </w:rPr>
              <w:t>This draft decree has been discussed in the Standing Committee of 1</w:t>
            </w:r>
            <w:r w:rsidR="00256A08" w:rsidRPr="00256A08">
              <w:rPr>
                <w:sz w:val="20"/>
                <w:szCs w:val="20"/>
              </w:rPr>
              <w:t xml:space="preserve">3-14 September 2016 </w:t>
            </w:r>
            <w:r w:rsidR="00256A08" w:rsidRPr="003318C5">
              <w:rPr>
                <w:b/>
                <w:sz w:val="20"/>
                <w:szCs w:val="20"/>
              </w:rPr>
              <w:t>(</w:t>
            </w:r>
            <w:r w:rsidRPr="003318C5">
              <w:rPr>
                <w:b/>
                <w:sz w:val="20"/>
                <w:szCs w:val="20"/>
              </w:rPr>
              <w:t>FCP/INCO/090/16E-Rev.1)</w:t>
            </w:r>
          </w:p>
        </w:tc>
        <w:tc>
          <w:tcPr>
            <w:tcW w:w="1119" w:type="pct"/>
            <w:tcBorders>
              <w:top w:val="single" w:sz="4" w:space="0" w:color="auto"/>
              <w:left w:val="single" w:sz="4" w:space="0" w:color="auto"/>
              <w:bottom w:val="single" w:sz="4" w:space="0" w:color="auto"/>
              <w:right w:val="single" w:sz="4" w:space="0" w:color="auto"/>
            </w:tcBorders>
          </w:tcPr>
          <w:p w:rsidR="00256A08" w:rsidRPr="006C1D05" w:rsidRDefault="00256A08" w:rsidP="006C1D05">
            <w:pPr>
              <w:rPr>
                <w:b/>
                <w:sz w:val="20"/>
                <w:szCs w:val="20"/>
              </w:rPr>
            </w:pP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lastRenderedPageBreak/>
              <w:t>Lithuania</w:t>
            </w:r>
          </w:p>
        </w:tc>
        <w:tc>
          <w:tcPr>
            <w:tcW w:w="389" w:type="pct"/>
          </w:tcPr>
          <w:p w:rsidR="00C05FB2" w:rsidRPr="00AB27B4" w:rsidRDefault="00C05FB2" w:rsidP="00C05FB2">
            <w:pPr>
              <w:rPr>
                <w:sz w:val="20"/>
                <w:szCs w:val="20"/>
              </w:rPr>
            </w:pPr>
            <w:r w:rsidRPr="00AB27B4">
              <w:rPr>
                <w:sz w:val="20"/>
                <w:szCs w:val="20"/>
              </w:rPr>
              <w:t xml:space="preserve">Milk and milk used </w:t>
            </w:r>
            <w:r w:rsidR="00245C74">
              <w:rPr>
                <w:sz w:val="20"/>
                <w:szCs w:val="20"/>
              </w:rPr>
              <w:t xml:space="preserve">as ingredient </w:t>
            </w:r>
            <w:r w:rsidRPr="00AB27B4">
              <w:rPr>
                <w:sz w:val="20"/>
                <w:szCs w:val="20"/>
              </w:rPr>
              <w:t xml:space="preserve">in </w:t>
            </w:r>
            <w:r w:rsidR="00245C74">
              <w:rPr>
                <w:sz w:val="20"/>
                <w:szCs w:val="20"/>
              </w:rPr>
              <w:t xml:space="preserve">certain </w:t>
            </w:r>
            <w:r w:rsidRPr="00AB27B4">
              <w:rPr>
                <w:sz w:val="20"/>
                <w:szCs w:val="20"/>
              </w:rPr>
              <w:t>dairy products</w:t>
            </w:r>
          </w:p>
        </w:tc>
        <w:tc>
          <w:tcPr>
            <w:tcW w:w="946" w:type="pct"/>
          </w:tcPr>
          <w:p w:rsidR="00C05FB2" w:rsidRPr="0026533F" w:rsidRDefault="00C05FB2" w:rsidP="0026533F">
            <w:pPr>
              <w:tabs>
                <w:tab w:val="left" w:pos="342"/>
              </w:tabs>
              <w:rPr>
                <w:rFonts w:cs="Arial"/>
                <w:sz w:val="20"/>
                <w:szCs w:val="20"/>
                <w:lang w:val="en-US" w:eastAsia="fr-BE"/>
              </w:rPr>
            </w:pPr>
            <w:r w:rsidRPr="00C15D4F">
              <w:rPr>
                <w:rFonts w:cs="Arial"/>
                <w:sz w:val="20"/>
                <w:szCs w:val="20"/>
                <w:lang w:val="en-US" w:eastAsia="fr-BE"/>
              </w:rPr>
              <w:t>The draft order</w:t>
            </w:r>
            <w:r w:rsidR="0026533F">
              <w:rPr>
                <w:rFonts w:cs="Arial"/>
                <w:sz w:val="20"/>
                <w:szCs w:val="20"/>
                <w:lang w:val="en-US" w:eastAsia="fr-BE"/>
              </w:rPr>
              <w:t xml:space="preserve"> </w:t>
            </w:r>
            <w:r w:rsidRPr="0026533F">
              <w:rPr>
                <w:rFonts w:cs="Arial"/>
                <w:sz w:val="20"/>
                <w:szCs w:val="20"/>
                <w:lang w:val="en-US" w:eastAsia="fr-BE"/>
              </w:rPr>
              <w:t>lays down a list of milk products (milk, kefir, sour milk, cream, sour cream, quark, white cheese) for which declaration of the country of origin of milk contained as an ingredient is mandatory on labelling</w:t>
            </w:r>
            <w:r w:rsidR="0026533F">
              <w:rPr>
                <w:rFonts w:cs="Arial"/>
                <w:sz w:val="20"/>
                <w:szCs w:val="20"/>
                <w:lang w:val="en-US" w:eastAsia="fr-BE"/>
              </w:rPr>
              <w:t xml:space="preserve">. </w:t>
            </w:r>
            <w:r w:rsidRPr="0026533F">
              <w:rPr>
                <w:rFonts w:cs="Arial"/>
                <w:sz w:val="20"/>
                <w:szCs w:val="20"/>
                <w:lang w:val="en-US" w:eastAsia="fr-BE"/>
              </w:rPr>
              <w:t xml:space="preserve"> </w:t>
            </w:r>
          </w:p>
          <w:p w:rsidR="0026533F" w:rsidRDefault="0026533F" w:rsidP="00C05FB2">
            <w:pPr>
              <w:tabs>
                <w:tab w:val="left" w:pos="342"/>
              </w:tabs>
              <w:rPr>
                <w:b/>
                <w:sz w:val="20"/>
                <w:szCs w:val="20"/>
              </w:rPr>
            </w:pPr>
          </w:p>
          <w:p w:rsidR="0026533F" w:rsidRDefault="00256A08" w:rsidP="0026533F">
            <w:pPr>
              <w:rPr>
                <w:rFonts w:cs="Arial"/>
                <w:sz w:val="20"/>
                <w:szCs w:val="20"/>
                <w:lang w:val="en-US" w:eastAsia="fr-BE"/>
              </w:rPr>
            </w:pPr>
            <w:r w:rsidRPr="00256A08">
              <w:rPr>
                <w:rFonts w:cs="Arial"/>
                <w:sz w:val="20"/>
                <w:szCs w:val="20"/>
                <w:lang w:val="en-US" w:eastAsia="fr-BE"/>
              </w:rPr>
              <w:t xml:space="preserve">The decree is presented as an experiment limited in time. </w:t>
            </w:r>
            <w:r w:rsidR="0026533F" w:rsidRPr="0026533F">
              <w:rPr>
                <w:rFonts w:cs="Arial"/>
                <w:sz w:val="20"/>
                <w:szCs w:val="20"/>
                <w:lang w:val="en-US" w:eastAsia="fr-BE"/>
              </w:rPr>
              <w:t xml:space="preserve">A report on its application </w:t>
            </w:r>
            <w:r w:rsidR="0026533F">
              <w:rPr>
                <w:rFonts w:cs="Arial"/>
                <w:sz w:val="20"/>
                <w:szCs w:val="20"/>
                <w:lang w:val="en-US" w:eastAsia="fr-BE"/>
              </w:rPr>
              <w:t xml:space="preserve">is </w:t>
            </w:r>
            <w:r w:rsidR="0026533F" w:rsidRPr="0026533F">
              <w:rPr>
                <w:rFonts w:cs="Arial"/>
                <w:sz w:val="20"/>
                <w:szCs w:val="20"/>
                <w:lang w:val="en-US" w:eastAsia="fr-BE"/>
              </w:rPr>
              <w:t xml:space="preserve">to be submitted to the </w:t>
            </w:r>
            <w:r w:rsidR="0026533F">
              <w:rPr>
                <w:rFonts w:cs="Arial"/>
                <w:sz w:val="20"/>
                <w:szCs w:val="20"/>
                <w:lang w:val="en-US" w:eastAsia="fr-BE"/>
              </w:rPr>
              <w:t>E</w:t>
            </w:r>
            <w:r w:rsidR="0026533F" w:rsidRPr="0026533F">
              <w:rPr>
                <w:rFonts w:cs="Arial"/>
                <w:sz w:val="20"/>
                <w:szCs w:val="20"/>
                <w:lang w:val="en-US" w:eastAsia="fr-BE"/>
              </w:rPr>
              <w:t>C</w:t>
            </w:r>
            <w:r w:rsidR="0026533F">
              <w:rPr>
                <w:rFonts w:cs="Arial"/>
                <w:sz w:val="20"/>
                <w:szCs w:val="20"/>
                <w:lang w:val="en-US" w:eastAsia="fr-BE"/>
              </w:rPr>
              <w:t xml:space="preserve"> </w:t>
            </w:r>
            <w:r w:rsidR="0026533F" w:rsidRPr="0026533F">
              <w:rPr>
                <w:rFonts w:cs="Arial"/>
                <w:sz w:val="20"/>
                <w:szCs w:val="20"/>
                <w:lang w:val="en-US" w:eastAsia="fr-BE"/>
              </w:rPr>
              <w:t>by 30 September 2018.</w:t>
            </w:r>
          </w:p>
          <w:p w:rsidR="0026533F" w:rsidRPr="0026533F" w:rsidRDefault="0026533F" w:rsidP="0026533F">
            <w:pPr>
              <w:rPr>
                <w:rFonts w:cs="Arial"/>
                <w:sz w:val="20"/>
                <w:szCs w:val="20"/>
                <w:lang w:val="en-US" w:eastAsia="fr-BE"/>
              </w:rPr>
            </w:pPr>
          </w:p>
          <w:p w:rsidR="0026533F" w:rsidRPr="0026533F" w:rsidRDefault="0026533F" w:rsidP="00C05FB2">
            <w:pPr>
              <w:tabs>
                <w:tab w:val="left" w:pos="342"/>
              </w:tabs>
              <w:rPr>
                <w:b/>
                <w:sz w:val="20"/>
                <w:szCs w:val="20"/>
                <w:lang w:val="en-US"/>
              </w:rPr>
            </w:pPr>
            <w:r w:rsidRPr="003318C5">
              <w:rPr>
                <w:b/>
                <w:sz w:val="20"/>
                <w:szCs w:val="20"/>
              </w:rPr>
              <w:t>See FCP/INCO/070/16E</w:t>
            </w:r>
          </w:p>
          <w:p w:rsidR="00C05FB2" w:rsidRPr="00C81B0C" w:rsidRDefault="00C05FB2" w:rsidP="00C05FB2">
            <w:pPr>
              <w:tabs>
                <w:tab w:val="left" w:pos="342"/>
              </w:tabs>
              <w:rPr>
                <w:sz w:val="20"/>
                <w:szCs w:val="20"/>
              </w:rPr>
            </w:pPr>
          </w:p>
        </w:tc>
        <w:tc>
          <w:tcPr>
            <w:tcW w:w="660" w:type="pct"/>
          </w:tcPr>
          <w:p w:rsidR="00C05FB2" w:rsidRDefault="00C05FB2" w:rsidP="00C05FB2">
            <w:pPr>
              <w:rPr>
                <w:sz w:val="20"/>
                <w:szCs w:val="20"/>
              </w:rPr>
            </w:pPr>
            <w:r>
              <w:rPr>
                <w:sz w:val="20"/>
                <w:szCs w:val="20"/>
              </w:rPr>
              <w:t>13 July 2016</w:t>
            </w:r>
          </w:p>
          <w:p w:rsidR="00C05FB2" w:rsidRDefault="00C05FB2" w:rsidP="00C05FB2">
            <w:pPr>
              <w:rPr>
                <w:sz w:val="20"/>
                <w:szCs w:val="20"/>
              </w:rPr>
            </w:pPr>
            <w:r>
              <w:rPr>
                <w:sz w:val="20"/>
                <w:szCs w:val="20"/>
              </w:rPr>
              <w:t>(notified under Art. 45 of 1169/2011)</w:t>
            </w:r>
          </w:p>
          <w:p w:rsidR="0092476B" w:rsidRDefault="0092476B" w:rsidP="00C05FB2">
            <w:pPr>
              <w:rPr>
                <w:color w:val="FF0000"/>
                <w:sz w:val="20"/>
                <w:szCs w:val="20"/>
              </w:rPr>
            </w:pPr>
          </w:p>
          <w:p w:rsidR="00C05FB2" w:rsidRDefault="00C05FB2" w:rsidP="00C05FB2">
            <w:pPr>
              <w:rPr>
                <w:sz w:val="20"/>
                <w:szCs w:val="20"/>
              </w:rPr>
            </w:pPr>
            <w:r w:rsidRPr="0092476B">
              <w:rPr>
                <w:sz w:val="20"/>
                <w:szCs w:val="20"/>
              </w:rPr>
              <w:t xml:space="preserve">The EC </w:t>
            </w:r>
            <w:r w:rsidR="0092476B" w:rsidRPr="0092476B">
              <w:rPr>
                <w:sz w:val="20"/>
                <w:szCs w:val="20"/>
              </w:rPr>
              <w:t>did</w:t>
            </w:r>
            <w:r w:rsidRPr="0092476B">
              <w:rPr>
                <w:sz w:val="20"/>
                <w:szCs w:val="20"/>
              </w:rPr>
              <w:t xml:space="preserve"> not raised objections by the deadline of 14 October 2016. </w:t>
            </w:r>
          </w:p>
          <w:p w:rsidR="00DF12D4" w:rsidRDefault="00DF12D4" w:rsidP="00C05FB2">
            <w:pPr>
              <w:rPr>
                <w:sz w:val="20"/>
                <w:szCs w:val="20"/>
              </w:rPr>
            </w:pPr>
          </w:p>
          <w:p w:rsidR="00DF12D4" w:rsidRPr="008007DB" w:rsidRDefault="008007DB" w:rsidP="00C05FB2">
            <w:pPr>
              <w:rPr>
                <w:sz w:val="20"/>
                <w:szCs w:val="20"/>
              </w:rPr>
            </w:pPr>
            <w:r w:rsidRPr="008007DB">
              <w:rPr>
                <w:sz w:val="20"/>
                <w:szCs w:val="20"/>
              </w:rPr>
              <w:t>I</w:t>
            </w:r>
            <w:r w:rsidR="00DF12D4" w:rsidRPr="008007DB">
              <w:rPr>
                <w:sz w:val="20"/>
                <w:szCs w:val="20"/>
              </w:rPr>
              <w:t xml:space="preserve">t is understood that the decree has been adopted. </w:t>
            </w:r>
          </w:p>
          <w:p w:rsidR="00C05FB2" w:rsidRPr="001C7312" w:rsidRDefault="00C05FB2" w:rsidP="00C05FB2">
            <w:pPr>
              <w:rPr>
                <w:color w:val="FF0000"/>
                <w:sz w:val="20"/>
                <w:szCs w:val="20"/>
              </w:rPr>
            </w:pPr>
          </w:p>
          <w:p w:rsidR="00C05FB2" w:rsidRPr="00AB27B4" w:rsidRDefault="00C05FB2" w:rsidP="00C05FB2">
            <w:pPr>
              <w:rPr>
                <w:sz w:val="20"/>
                <w:szCs w:val="20"/>
              </w:rPr>
            </w:pPr>
          </w:p>
        </w:tc>
        <w:tc>
          <w:tcPr>
            <w:tcW w:w="407" w:type="pct"/>
          </w:tcPr>
          <w:p w:rsidR="00C05FB2" w:rsidRPr="00AB27B4" w:rsidRDefault="00C05FB2" w:rsidP="0026533F">
            <w:pPr>
              <w:rPr>
                <w:sz w:val="20"/>
                <w:szCs w:val="20"/>
              </w:rPr>
            </w:pPr>
            <w:r>
              <w:rPr>
                <w:sz w:val="20"/>
                <w:szCs w:val="20"/>
              </w:rPr>
              <w:t xml:space="preserve">Expected: </w:t>
            </w:r>
            <w:r w:rsidR="0026533F">
              <w:rPr>
                <w:sz w:val="20"/>
                <w:szCs w:val="20"/>
              </w:rPr>
              <w:t xml:space="preserve">beginning (?) </w:t>
            </w:r>
            <w:r w:rsidRPr="001C7312">
              <w:rPr>
                <w:sz w:val="20"/>
                <w:szCs w:val="20"/>
              </w:rPr>
              <w:t>2017 (until 31 December 2018)</w:t>
            </w:r>
          </w:p>
        </w:tc>
        <w:tc>
          <w:tcPr>
            <w:tcW w:w="1103" w:type="pct"/>
          </w:tcPr>
          <w:p w:rsidR="00C05FB2" w:rsidRPr="00AB27B4" w:rsidRDefault="00C05FB2" w:rsidP="00C05FB2">
            <w:pPr>
              <w:pStyle w:val="ListParagraph"/>
              <w:numPr>
                <w:ilvl w:val="0"/>
                <w:numId w:val="1"/>
              </w:numPr>
              <w:rPr>
                <w:rStyle w:val="Hyperlink"/>
                <w:rFonts w:cs="Arial"/>
                <w:color w:val="auto"/>
                <w:sz w:val="20"/>
                <w:szCs w:val="20"/>
                <w:lang w:val="en-US" w:eastAsia="fr-BE"/>
              </w:rPr>
            </w:pPr>
            <w:r w:rsidRPr="00AB27B4">
              <w:rPr>
                <w:rFonts w:cs="Arial"/>
                <w:sz w:val="20"/>
                <w:szCs w:val="20"/>
                <w:lang w:val="en-US" w:eastAsia="fr-BE"/>
              </w:rPr>
              <w:t xml:space="preserve">Follows an earlier attempt (TRIS notification number </w:t>
            </w:r>
            <w:r w:rsidRPr="00AB27B4">
              <w:rPr>
                <w:rFonts w:cs="Arial"/>
                <w:b/>
                <w:sz w:val="20"/>
                <w:szCs w:val="20"/>
                <w:lang w:val="en-US" w:eastAsia="fr-BE"/>
              </w:rPr>
              <w:t>2015/465/LT</w:t>
            </w:r>
            <w:r w:rsidRPr="00AB27B4">
              <w:rPr>
                <w:rFonts w:cs="Arial"/>
                <w:sz w:val="20"/>
                <w:szCs w:val="20"/>
                <w:lang w:val="en-US" w:eastAsia="fr-BE"/>
              </w:rPr>
              <w:t xml:space="preserve">, </w:t>
            </w:r>
            <w:hyperlink r:id="rId8" w:history="1">
              <w:r w:rsidRPr="00AB27B4">
                <w:rPr>
                  <w:rStyle w:val="Hyperlink"/>
                  <w:rFonts w:cs="Arial"/>
                  <w:color w:val="auto"/>
                  <w:sz w:val="20"/>
                  <w:szCs w:val="20"/>
                  <w:lang w:val="en-US" w:eastAsia="fr-BE"/>
                </w:rPr>
                <w:t>link</w:t>
              </w:r>
            </w:hyperlink>
            <w:r>
              <w:rPr>
                <w:rFonts w:cs="Arial"/>
                <w:sz w:val="20"/>
                <w:szCs w:val="20"/>
                <w:lang w:val="en-US" w:eastAsia="fr-BE"/>
              </w:rPr>
              <w:t>)</w:t>
            </w:r>
          </w:p>
          <w:p w:rsidR="00C05FB2" w:rsidRPr="00AB27B4" w:rsidRDefault="00C05FB2" w:rsidP="00C05FB2">
            <w:pPr>
              <w:rPr>
                <w:rFonts w:cs="Arial"/>
                <w:sz w:val="20"/>
                <w:szCs w:val="20"/>
                <w:lang w:val="en-US" w:eastAsia="fr-BE"/>
              </w:rPr>
            </w:pPr>
          </w:p>
          <w:p w:rsidR="00C05FB2" w:rsidRPr="0026533F" w:rsidRDefault="0026533F" w:rsidP="0026533F">
            <w:pPr>
              <w:pStyle w:val="ListParagraph"/>
              <w:numPr>
                <w:ilvl w:val="0"/>
                <w:numId w:val="15"/>
              </w:numPr>
              <w:jc w:val="both"/>
              <w:rPr>
                <w:sz w:val="20"/>
                <w:szCs w:val="20"/>
              </w:rPr>
            </w:pPr>
            <w:r>
              <w:rPr>
                <w:sz w:val="20"/>
                <w:szCs w:val="20"/>
              </w:rPr>
              <w:t>H</w:t>
            </w:r>
            <w:r w:rsidR="00C05FB2" w:rsidRPr="0026533F">
              <w:rPr>
                <w:sz w:val="20"/>
                <w:szCs w:val="20"/>
              </w:rPr>
              <w:t xml:space="preserve">as been discussed in the Standing Committee of 13-14 September 2016 </w:t>
            </w:r>
            <w:r w:rsidR="00C05FB2" w:rsidRPr="003318C5">
              <w:rPr>
                <w:b/>
                <w:sz w:val="20"/>
                <w:szCs w:val="20"/>
              </w:rPr>
              <w:t>(FCP/INCO/090/16E-Rev.1)</w:t>
            </w:r>
          </w:p>
        </w:tc>
        <w:tc>
          <w:tcPr>
            <w:tcW w:w="1119" w:type="pct"/>
            <w:tcBorders>
              <w:top w:val="single" w:sz="4" w:space="0" w:color="auto"/>
              <w:left w:val="single" w:sz="4" w:space="0" w:color="auto"/>
              <w:bottom w:val="single" w:sz="4" w:space="0" w:color="auto"/>
              <w:right w:val="single" w:sz="4" w:space="0" w:color="auto"/>
            </w:tcBorders>
          </w:tcPr>
          <w:p w:rsidR="00C05FB2" w:rsidRDefault="00C05FB2" w:rsidP="00C05FB2">
            <w:pPr>
              <w:pStyle w:val="ListParagraph"/>
              <w:numPr>
                <w:ilvl w:val="0"/>
                <w:numId w:val="14"/>
              </w:numPr>
              <w:rPr>
                <w:sz w:val="20"/>
                <w:szCs w:val="20"/>
              </w:rPr>
            </w:pPr>
            <w:r w:rsidRPr="003318C5">
              <w:rPr>
                <w:b/>
                <w:sz w:val="20"/>
                <w:szCs w:val="20"/>
              </w:rPr>
              <w:t>FCP/INCO/069/15E,</w:t>
            </w:r>
            <w:r w:rsidR="0026533F" w:rsidRPr="003318C5">
              <w:rPr>
                <w:b/>
                <w:sz w:val="20"/>
                <w:szCs w:val="20"/>
              </w:rPr>
              <w:t xml:space="preserve"> </w:t>
            </w:r>
            <w:r w:rsidRPr="003318C5">
              <w:rPr>
                <w:b/>
                <w:sz w:val="20"/>
                <w:szCs w:val="20"/>
              </w:rPr>
              <w:t>Annex 2</w:t>
            </w: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t>Italy</w:t>
            </w:r>
          </w:p>
        </w:tc>
        <w:tc>
          <w:tcPr>
            <w:tcW w:w="389" w:type="pct"/>
          </w:tcPr>
          <w:p w:rsidR="00C05FB2" w:rsidRPr="00AB27B4" w:rsidRDefault="00C05FB2" w:rsidP="00C05FB2">
            <w:pPr>
              <w:rPr>
                <w:sz w:val="20"/>
                <w:szCs w:val="20"/>
              </w:rPr>
            </w:pPr>
            <w:r w:rsidRPr="00AB27B4">
              <w:rPr>
                <w:sz w:val="20"/>
                <w:szCs w:val="20"/>
              </w:rPr>
              <w:t>Milk and milk used in dairy products</w:t>
            </w:r>
          </w:p>
        </w:tc>
        <w:tc>
          <w:tcPr>
            <w:tcW w:w="946" w:type="pct"/>
          </w:tcPr>
          <w:p w:rsidR="00C05FB2" w:rsidRPr="0092476B" w:rsidRDefault="0092476B" w:rsidP="0092476B">
            <w:pPr>
              <w:tabs>
                <w:tab w:val="left" w:pos="342"/>
              </w:tabs>
              <w:rPr>
                <w:rFonts w:cs="Arial"/>
                <w:sz w:val="20"/>
                <w:szCs w:val="20"/>
                <w:lang w:val="en-US" w:eastAsia="fr-BE"/>
              </w:rPr>
            </w:pPr>
            <w:r w:rsidRPr="0092476B">
              <w:rPr>
                <w:rFonts w:cs="Arial"/>
                <w:sz w:val="20"/>
                <w:szCs w:val="20"/>
                <w:lang w:val="en-US" w:eastAsia="fr-BE"/>
              </w:rPr>
              <w:t xml:space="preserve">The draft decree </w:t>
            </w:r>
            <w:r w:rsidR="00C05FB2" w:rsidRPr="0092476B">
              <w:rPr>
                <w:rFonts w:cs="Arial"/>
                <w:sz w:val="20"/>
                <w:szCs w:val="20"/>
                <w:lang w:val="en-US" w:eastAsia="fr-BE"/>
              </w:rPr>
              <w:t>requires the mandatory indication of the country of milking, packaging and processing of the milk</w:t>
            </w:r>
            <w:r w:rsidRPr="0092476B">
              <w:rPr>
                <w:rFonts w:cs="Arial"/>
                <w:sz w:val="20"/>
                <w:szCs w:val="20"/>
                <w:lang w:val="en-US" w:eastAsia="fr-BE"/>
              </w:rPr>
              <w:t xml:space="preserve"> (some flexibility is allowed in certain cases).</w:t>
            </w:r>
          </w:p>
          <w:p w:rsidR="0092476B" w:rsidRPr="0092476B" w:rsidRDefault="0092476B" w:rsidP="0092476B">
            <w:pPr>
              <w:tabs>
                <w:tab w:val="left" w:pos="342"/>
              </w:tabs>
              <w:rPr>
                <w:rFonts w:cs="Arial"/>
                <w:sz w:val="20"/>
                <w:szCs w:val="20"/>
                <w:lang w:val="en-US" w:eastAsia="fr-BE"/>
              </w:rPr>
            </w:pPr>
          </w:p>
          <w:p w:rsidR="0092476B" w:rsidRPr="0092476B" w:rsidRDefault="0092476B" w:rsidP="0092476B">
            <w:pPr>
              <w:tabs>
                <w:tab w:val="left" w:pos="342"/>
              </w:tabs>
              <w:rPr>
                <w:rFonts w:cs="Arial"/>
                <w:sz w:val="20"/>
                <w:szCs w:val="20"/>
                <w:lang w:val="en-US" w:eastAsia="fr-BE"/>
              </w:rPr>
            </w:pPr>
            <w:r w:rsidRPr="0092476B">
              <w:rPr>
                <w:rFonts w:cs="Arial"/>
                <w:sz w:val="20"/>
                <w:szCs w:val="20"/>
                <w:lang w:val="en-US" w:eastAsia="fr-BE"/>
              </w:rPr>
              <w:t xml:space="preserve">The decree is presented as an experiment limited in time. A report on its application </w:t>
            </w:r>
            <w:r w:rsidR="0026533F">
              <w:rPr>
                <w:rFonts w:cs="Arial"/>
                <w:sz w:val="20"/>
                <w:szCs w:val="20"/>
                <w:lang w:val="en-US" w:eastAsia="fr-BE"/>
              </w:rPr>
              <w:t>is to</w:t>
            </w:r>
            <w:r w:rsidRPr="0092476B">
              <w:rPr>
                <w:rFonts w:cs="Arial"/>
                <w:sz w:val="20"/>
                <w:szCs w:val="20"/>
                <w:lang w:val="en-US" w:eastAsia="fr-BE"/>
              </w:rPr>
              <w:t xml:space="preserve"> be submitted to the EC by 31 December 2018.</w:t>
            </w:r>
          </w:p>
          <w:p w:rsidR="00C05FB2" w:rsidRPr="0092476B" w:rsidRDefault="00C05FB2" w:rsidP="00C05FB2">
            <w:pPr>
              <w:rPr>
                <w:sz w:val="20"/>
                <w:szCs w:val="20"/>
              </w:rPr>
            </w:pPr>
          </w:p>
          <w:p w:rsidR="0092476B" w:rsidRPr="0092476B" w:rsidRDefault="003D65AE" w:rsidP="00C05FB2">
            <w:pPr>
              <w:rPr>
                <w:b/>
                <w:sz w:val="20"/>
                <w:szCs w:val="20"/>
              </w:rPr>
            </w:pPr>
            <w:r>
              <w:rPr>
                <w:b/>
                <w:sz w:val="20"/>
                <w:szCs w:val="20"/>
              </w:rPr>
              <w:t>See FCP/INCO/114</w:t>
            </w:r>
            <w:r w:rsidR="00C05FB2" w:rsidRPr="003318C5">
              <w:rPr>
                <w:b/>
                <w:sz w:val="20"/>
                <w:szCs w:val="20"/>
              </w:rPr>
              <w:t>/16E</w:t>
            </w:r>
            <w:r>
              <w:rPr>
                <w:b/>
                <w:sz w:val="20"/>
                <w:szCs w:val="20"/>
              </w:rPr>
              <w:t>-Rev.2</w:t>
            </w:r>
          </w:p>
          <w:p w:rsidR="0092476B" w:rsidRPr="0092476B" w:rsidRDefault="0092476B" w:rsidP="00C05FB2">
            <w:pPr>
              <w:rPr>
                <w:b/>
                <w:sz w:val="20"/>
                <w:szCs w:val="20"/>
              </w:rPr>
            </w:pPr>
          </w:p>
          <w:p w:rsidR="00C05FB2" w:rsidRPr="0092476B" w:rsidRDefault="00C05FB2" w:rsidP="00C05FB2">
            <w:pPr>
              <w:rPr>
                <w:sz w:val="20"/>
                <w:szCs w:val="20"/>
              </w:rPr>
            </w:pPr>
          </w:p>
        </w:tc>
        <w:tc>
          <w:tcPr>
            <w:tcW w:w="660" w:type="pct"/>
          </w:tcPr>
          <w:p w:rsidR="00C05FB2" w:rsidRDefault="00C05FB2" w:rsidP="00C05FB2">
            <w:pPr>
              <w:rPr>
                <w:sz w:val="20"/>
                <w:szCs w:val="20"/>
              </w:rPr>
            </w:pPr>
            <w:r w:rsidRPr="00AB27B4">
              <w:rPr>
                <w:rFonts w:cs="Arial"/>
                <w:sz w:val="20"/>
                <w:szCs w:val="20"/>
                <w:lang w:val="en-US" w:eastAsia="fr-BE"/>
              </w:rPr>
              <w:lastRenderedPageBreak/>
              <w:t>24 June 2016</w:t>
            </w:r>
            <w:r>
              <w:rPr>
                <w:rFonts w:cs="Arial"/>
                <w:sz w:val="20"/>
                <w:szCs w:val="20"/>
                <w:lang w:val="en-US" w:eastAsia="fr-BE"/>
              </w:rPr>
              <w:t xml:space="preserve"> </w:t>
            </w:r>
            <w:r>
              <w:rPr>
                <w:sz w:val="20"/>
                <w:szCs w:val="20"/>
              </w:rPr>
              <w:t>(</w:t>
            </w:r>
            <w:r w:rsidR="00245C74">
              <w:rPr>
                <w:sz w:val="20"/>
                <w:szCs w:val="20"/>
              </w:rPr>
              <w:t>under Art. 45 of</w:t>
            </w:r>
            <w:r w:rsidR="00494C4A">
              <w:rPr>
                <w:sz w:val="20"/>
                <w:szCs w:val="20"/>
              </w:rPr>
              <w:t xml:space="preserve"> </w:t>
            </w:r>
            <w:r>
              <w:rPr>
                <w:sz w:val="20"/>
                <w:szCs w:val="20"/>
              </w:rPr>
              <w:t>1169/2011)</w:t>
            </w:r>
          </w:p>
          <w:p w:rsidR="00494C4A" w:rsidRDefault="00494C4A" w:rsidP="00C05FB2">
            <w:pPr>
              <w:rPr>
                <w:sz w:val="20"/>
                <w:szCs w:val="20"/>
              </w:rPr>
            </w:pPr>
          </w:p>
          <w:p w:rsidR="00C05FB2" w:rsidRDefault="00C05FB2" w:rsidP="00C05FB2">
            <w:pPr>
              <w:rPr>
                <w:sz w:val="20"/>
                <w:szCs w:val="20"/>
              </w:rPr>
            </w:pPr>
            <w:r w:rsidRPr="001C7312">
              <w:rPr>
                <w:sz w:val="20"/>
                <w:szCs w:val="20"/>
              </w:rPr>
              <w:t xml:space="preserve">The draft decree was modified and further notified to the EC on 13 July 2016. </w:t>
            </w:r>
          </w:p>
          <w:p w:rsidR="00494C4A" w:rsidRPr="001C7312" w:rsidRDefault="00494C4A" w:rsidP="00C05FB2">
            <w:pPr>
              <w:rPr>
                <w:sz w:val="20"/>
                <w:szCs w:val="20"/>
              </w:rPr>
            </w:pPr>
          </w:p>
          <w:p w:rsidR="00C05FB2" w:rsidRDefault="00C05FB2" w:rsidP="00494C4A">
            <w:pPr>
              <w:rPr>
                <w:b/>
                <w:sz w:val="20"/>
                <w:szCs w:val="20"/>
              </w:rPr>
            </w:pPr>
            <w:r w:rsidRPr="00494C4A">
              <w:rPr>
                <w:sz w:val="20"/>
                <w:szCs w:val="20"/>
              </w:rPr>
              <w:t xml:space="preserve">The EC </w:t>
            </w:r>
            <w:r w:rsidR="00494C4A">
              <w:rPr>
                <w:sz w:val="20"/>
                <w:szCs w:val="20"/>
              </w:rPr>
              <w:t>did</w:t>
            </w:r>
            <w:r w:rsidRPr="00494C4A">
              <w:rPr>
                <w:sz w:val="20"/>
                <w:szCs w:val="20"/>
              </w:rPr>
              <w:t xml:space="preserve"> not raised objections </w:t>
            </w:r>
            <w:r w:rsidR="00494C4A">
              <w:rPr>
                <w:sz w:val="20"/>
                <w:szCs w:val="20"/>
              </w:rPr>
              <w:t xml:space="preserve">by </w:t>
            </w:r>
            <w:r w:rsidR="00494C4A">
              <w:rPr>
                <w:sz w:val="20"/>
                <w:szCs w:val="20"/>
              </w:rPr>
              <w:lastRenderedPageBreak/>
              <w:t xml:space="preserve">the </w:t>
            </w:r>
            <w:r w:rsidR="00494C4A" w:rsidRPr="00494C4A">
              <w:rPr>
                <w:sz w:val="20"/>
                <w:szCs w:val="20"/>
              </w:rPr>
              <w:t>deadline of 14 October 2016</w:t>
            </w:r>
            <w:r w:rsidR="003D65AE">
              <w:rPr>
                <w:sz w:val="20"/>
                <w:szCs w:val="20"/>
              </w:rPr>
              <w:t>.</w:t>
            </w:r>
          </w:p>
          <w:p w:rsidR="00807BDA" w:rsidRDefault="00807BDA" w:rsidP="00494C4A">
            <w:pPr>
              <w:rPr>
                <w:b/>
                <w:sz w:val="20"/>
                <w:szCs w:val="20"/>
              </w:rPr>
            </w:pPr>
          </w:p>
          <w:p w:rsidR="00807BDA" w:rsidRPr="00807BDA" w:rsidRDefault="00807BDA" w:rsidP="00494C4A">
            <w:pPr>
              <w:rPr>
                <w:sz w:val="20"/>
                <w:szCs w:val="20"/>
              </w:rPr>
            </w:pPr>
            <w:r w:rsidRPr="00807BDA">
              <w:rPr>
                <w:sz w:val="20"/>
                <w:szCs w:val="20"/>
              </w:rPr>
              <w:t xml:space="preserve">The decree has been adopted on </w:t>
            </w:r>
          </w:p>
          <w:p w:rsidR="003D65AE" w:rsidRDefault="00807BDA" w:rsidP="00494C4A">
            <w:pPr>
              <w:rPr>
                <w:sz w:val="20"/>
                <w:szCs w:val="20"/>
              </w:rPr>
            </w:pPr>
            <w:r w:rsidRPr="00807BDA">
              <w:rPr>
                <w:sz w:val="20"/>
                <w:szCs w:val="20"/>
              </w:rPr>
              <w:t xml:space="preserve">9 December 2016. </w:t>
            </w:r>
          </w:p>
          <w:p w:rsidR="00807BDA" w:rsidRPr="00AB27B4" w:rsidRDefault="00807BDA" w:rsidP="003D65AE">
            <w:pPr>
              <w:rPr>
                <w:sz w:val="20"/>
                <w:szCs w:val="20"/>
              </w:rPr>
            </w:pPr>
          </w:p>
        </w:tc>
        <w:tc>
          <w:tcPr>
            <w:tcW w:w="407" w:type="pct"/>
          </w:tcPr>
          <w:p w:rsidR="00C05FB2" w:rsidRPr="00AB27B4" w:rsidRDefault="003D65AE" w:rsidP="00C05FB2">
            <w:pPr>
              <w:rPr>
                <w:sz w:val="20"/>
                <w:szCs w:val="20"/>
              </w:rPr>
            </w:pPr>
            <w:r w:rsidRPr="0078475F">
              <w:rPr>
                <w:sz w:val="20"/>
                <w:szCs w:val="20"/>
              </w:rPr>
              <w:lastRenderedPageBreak/>
              <w:t xml:space="preserve">90 days from the publication on the Italian Official Journal </w:t>
            </w:r>
            <w:r w:rsidR="0092476B" w:rsidRPr="0078475F">
              <w:rPr>
                <w:sz w:val="20"/>
                <w:szCs w:val="20"/>
              </w:rPr>
              <w:t xml:space="preserve"> </w:t>
            </w:r>
            <w:r w:rsidRPr="0078475F">
              <w:rPr>
                <w:sz w:val="20"/>
                <w:szCs w:val="20"/>
              </w:rPr>
              <w:t>(</w:t>
            </w:r>
            <w:hyperlink r:id="rId9" w:history="1">
              <w:r w:rsidRPr="003D65AE">
                <w:rPr>
                  <w:rStyle w:val="Hyperlink"/>
                  <w:sz w:val="20"/>
                  <w:szCs w:val="20"/>
                </w:rPr>
                <w:t>link</w:t>
              </w:r>
            </w:hyperlink>
            <w:r w:rsidRPr="0078475F">
              <w:rPr>
                <w:sz w:val="20"/>
                <w:szCs w:val="20"/>
              </w:rPr>
              <w:t xml:space="preserve">) </w:t>
            </w:r>
            <w:r w:rsidR="0092476B" w:rsidRPr="0078475F">
              <w:rPr>
                <w:sz w:val="20"/>
                <w:szCs w:val="20"/>
              </w:rPr>
              <w:t>(until 31 March 2019)</w:t>
            </w:r>
          </w:p>
        </w:tc>
        <w:tc>
          <w:tcPr>
            <w:tcW w:w="1103" w:type="pct"/>
          </w:tcPr>
          <w:p w:rsidR="00C05FB2" w:rsidRPr="00AB27B4" w:rsidRDefault="00C05FB2" w:rsidP="0092476B">
            <w:pPr>
              <w:rPr>
                <w:sz w:val="20"/>
                <w:szCs w:val="20"/>
              </w:rPr>
            </w:pPr>
            <w:r w:rsidRPr="00794CD1">
              <w:rPr>
                <w:sz w:val="20"/>
                <w:szCs w:val="20"/>
              </w:rPr>
              <w:t xml:space="preserve">This draft decree </w:t>
            </w:r>
            <w:r w:rsidR="0092476B">
              <w:rPr>
                <w:sz w:val="20"/>
                <w:szCs w:val="20"/>
              </w:rPr>
              <w:t xml:space="preserve">was </w:t>
            </w:r>
            <w:r w:rsidRPr="00794CD1">
              <w:rPr>
                <w:sz w:val="20"/>
                <w:szCs w:val="20"/>
              </w:rPr>
              <w:t>discussed in the Standing Com</w:t>
            </w:r>
            <w:r>
              <w:rPr>
                <w:sz w:val="20"/>
                <w:szCs w:val="20"/>
              </w:rPr>
              <w:t xml:space="preserve">mittee of 13-14 September 2016 </w:t>
            </w:r>
            <w:r w:rsidRPr="003318C5">
              <w:rPr>
                <w:b/>
                <w:sz w:val="20"/>
                <w:szCs w:val="20"/>
              </w:rPr>
              <w:t>(FCP/INCO/090/16E-Rev.1)</w:t>
            </w:r>
          </w:p>
        </w:tc>
        <w:tc>
          <w:tcPr>
            <w:tcW w:w="1119" w:type="pct"/>
            <w:tcBorders>
              <w:top w:val="single" w:sz="4" w:space="0" w:color="auto"/>
              <w:left w:val="single" w:sz="4" w:space="0" w:color="auto"/>
              <w:bottom w:val="single" w:sz="4" w:space="0" w:color="auto"/>
              <w:right w:val="single" w:sz="4" w:space="0" w:color="auto"/>
            </w:tcBorders>
          </w:tcPr>
          <w:p w:rsidR="00C05FB2" w:rsidRPr="0092476B" w:rsidRDefault="00C05FB2" w:rsidP="00C05FB2">
            <w:pPr>
              <w:pStyle w:val="ListParagraph"/>
              <w:numPr>
                <w:ilvl w:val="0"/>
                <w:numId w:val="14"/>
              </w:numPr>
              <w:rPr>
                <w:b/>
                <w:sz w:val="20"/>
                <w:szCs w:val="20"/>
              </w:rPr>
            </w:pPr>
            <w:r w:rsidRPr="003318C5">
              <w:rPr>
                <w:b/>
                <w:sz w:val="20"/>
                <w:szCs w:val="20"/>
              </w:rPr>
              <w:t>FCP/INCO/062/16E</w:t>
            </w:r>
          </w:p>
        </w:tc>
      </w:tr>
      <w:tr w:rsidR="007D33A0" w:rsidRPr="00AB27B4" w:rsidTr="00417894">
        <w:tc>
          <w:tcPr>
            <w:tcW w:w="376" w:type="pct"/>
            <w:shd w:val="clear" w:color="auto" w:fill="DEEAF6" w:themeFill="accent1" w:themeFillTint="33"/>
          </w:tcPr>
          <w:p w:rsidR="00C05FB2" w:rsidRPr="00AB27B4" w:rsidRDefault="00C05FB2" w:rsidP="00C05FB2">
            <w:pPr>
              <w:rPr>
                <w:b/>
                <w:szCs w:val="20"/>
              </w:rPr>
            </w:pPr>
            <w:r w:rsidRPr="00AB27B4">
              <w:rPr>
                <w:b/>
                <w:szCs w:val="20"/>
              </w:rPr>
              <w:lastRenderedPageBreak/>
              <w:t>France</w:t>
            </w:r>
          </w:p>
        </w:tc>
        <w:tc>
          <w:tcPr>
            <w:tcW w:w="389" w:type="pct"/>
          </w:tcPr>
          <w:p w:rsidR="00C05FB2" w:rsidRPr="00AB27B4" w:rsidRDefault="00C05FB2" w:rsidP="00C05FB2">
            <w:pPr>
              <w:rPr>
                <w:sz w:val="20"/>
                <w:szCs w:val="20"/>
              </w:rPr>
            </w:pPr>
            <w:r w:rsidRPr="00AB27B4">
              <w:rPr>
                <w:sz w:val="20"/>
                <w:szCs w:val="20"/>
              </w:rPr>
              <w:t xml:space="preserve">Milk, milk used </w:t>
            </w:r>
            <w:r>
              <w:rPr>
                <w:sz w:val="20"/>
                <w:szCs w:val="20"/>
              </w:rPr>
              <w:t>as ingredient</w:t>
            </w:r>
            <w:r w:rsidRPr="00AB27B4">
              <w:rPr>
                <w:sz w:val="20"/>
                <w:szCs w:val="20"/>
              </w:rPr>
              <w:t xml:space="preserve">, meat used as ingredient </w:t>
            </w:r>
          </w:p>
        </w:tc>
        <w:tc>
          <w:tcPr>
            <w:tcW w:w="946" w:type="pct"/>
          </w:tcPr>
          <w:p w:rsidR="00C05FB2" w:rsidRDefault="00C05FB2" w:rsidP="00C05FB2">
            <w:pPr>
              <w:spacing w:after="240"/>
              <w:jc w:val="both"/>
              <w:rPr>
                <w:rFonts w:cs="Arial"/>
                <w:sz w:val="20"/>
                <w:szCs w:val="20"/>
                <w:lang w:val="en-US" w:eastAsia="fr-BE"/>
              </w:rPr>
            </w:pPr>
            <w:r w:rsidRPr="00AB27B4">
              <w:rPr>
                <w:rFonts w:cs="Arial"/>
                <w:sz w:val="20"/>
                <w:szCs w:val="20"/>
                <w:lang w:val="en-US" w:eastAsia="fr-BE"/>
              </w:rPr>
              <w:t>The French decree foresees rules on mandatory origin labelling for milk, milk used as ingredient in certain dairy products</w:t>
            </w:r>
            <w:r>
              <w:rPr>
                <w:rFonts w:cs="Arial"/>
                <w:sz w:val="20"/>
                <w:szCs w:val="20"/>
                <w:lang w:val="en-US" w:eastAsia="fr-BE"/>
              </w:rPr>
              <w:t xml:space="preserve"> </w:t>
            </w:r>
            <w:r w:rsidRPr="00AB27B4">
              <w:rPr>
                <w:rFonts w:cs="Arial"/>
                <w:sz w:val="20"/>
                <w:szCs w:val="20"/>
                <w:lang w:val="en-US" w:eastAsia="fr-BE"/>
              </w:rPr>
              <w:t xml:space="preserve">and meat used as ingredient. </w:t>
            </w:r>
          </w:p>
          <w:p w:rsidR="00494C4A" w:rsidRDefault="00C05FB2" w:rsidP="00C05FB2">
            <w:pPr>
              <w:spacing w:after="240"/>
              <w:jc w:val="both"/>
              <w:rPr>
                <w:rFonts w:cs="Arial"/>
                <w:sz w:val="20"/>
                <w:szCs w:val="20"/>
                <w:lang w:val="en-US" w:eastAsia="fr-BE"/>
              </w:rPr>
            </w:pPr>
            <w:r>
              <w:rPr>
                <w:rFonts w:cs="Arial"/>
                <w:sz w:val="20"/>
                <w:szCs w:val="20"/>
                <w:lang w:val="en-US" w:eastAsia="fr-BE"/>
              </w:rPr>
              <w:t>The list of the dairy products and of the species of meat to which the decree applies can be found in Annex I to the decree.</w:t>
            </w:r>
          </w:p>
          <w:p w:rsidR="00C05FB2" w:rsidRPr="00AB27B4" w:rsidRDefault="00494C4A" w:rsidP="00C05FB2">
            <w:pPr>
              <w:spacing w:after="240"/>
              <w:jc w:val="both"/>
              <w:rPr>
                <w:rFonts w:cs="Arial"/>
                <w:sz w:val="20"/>
                <w:szCs w:val="20"/>
                <w:lang w:val="en-US" w:eastAsia="fr-BE"/>
              </w:rPr>
            </w:pPr>
            <w:r w:rsidRPr="00494C4A">
              <w:rPr>
                <w:rFonts w:cs="Arial"/>
                <w:sz w:val="20"/>
                <w:szCs w:val="20"/>
                <w:lang w:val="en-US" w:eastAsia="fr-BE"/>
              </w:rPr>
              <w:t>The decree is presented as an experiment</w:t>
            </w:r>
            <w:r w:rsidR="00256A08">
              <w:rPr>
                <w:rFonts w:cs="Arial"/>
                <w:sz w:val="20"/>
                <w:szCs w:val="20"/>
                <w:lang w:val="en-US" w:eastAsia="fr-BE"/>
              </w:rPr>
              <w:t xml:space="preserve"> limited in time</w:t>
            </w:r>
            <w:r w:rsidRPr="00494C4A">
              <w:rPr>
                <w:rFonts w:cs="Arial"/>
                <w:sz w:val="20"/>
                <w:szCs w:val="20"/>
                <w:lang w:val="en-US" w:eastAsia="fr-BE"/>
              </w:rPr>
              <w:t xml:space="preserve">. An assessment of this experiment will be carried out and a report </w:t>
            </w:r>
            <w:r w:rsidR="0026533F">
              <w:rPr>
                <w:rFonts w:cs="Arial"/>
                <w:sz w:val="20"/>
                <w:szCs w:val="20"/>
                <w:lang w:val="en-US" w:eastAsia="fr-BE"/>
              </w:rPr>
              <w:t>will</w:t>
            </w:r>
            <w:r w:rsidRPr="00494C4A">
              <w:rPr>
                <w:rFonts w:cs="Arial"/>
                <w:sz w:val="20"/>
                <w:szCs w:val="20"/>
                <w:lang w:val="en-US" w:eastAsia="fr-BE"/>
              </w:rPr>
              <w:t xml:space="preserve"> be sent to the Commission.</w:t>
            </w:r>
            <w:r w:rsidR="00C05FB2">
              <w:rPr>
                <w:rFonts w:cs="Arial"/>
                <w:sz w:val="20"/>
                <w:szCs w:val="20"/>
                <w:lang w:val="en-US" w:eastAsia="fr-BE"/>
              </w:rPr>
              <w:t xml:space="preserve"> </w:t>
            </w:r>
          </w:p>
          <w:p w:rsidR="00C05FB2" w:rsidRDefault="00C05FB2" w:rsidP="00C05FB2">
            <w:pPr>
              <w:rPr>
                <w:sz w:val="20"/>
                <w:szCs w:val="20"/>
              </w:rPr>
            </w:pPr>
            <w:r>
              <w:rPr>
                <w:sz w:val="20"/>
                <w:szCs w:val="20"/>
              </w:rPr>
              <w:t xml:space="preserve">The decree is accompanied by an </w:t>
            </w:r>
            <w:r w:rsidRPr="001537B8">
              <w:rPr>
                <w:sz w:val="20"/>
                <w:szCs w:val="20"/>
              </w:rPr>
              <w:t>Arrêté setting the thresholds above which the</w:t>
            </w:r>
            <w:r>
              <w:rPr>
                <w:sz w:val="20"/>
                <w:szCs w:val="20"/>
              </w:rPr>
              <w:t xml:space="preserve"> origin indication is mandatory. </w:t>
            </w:r>
          </w:p>
          <w:p w:rsidR="003318C5" w:rsidRDefault="003318C5" w:rsidP="00C05FB2">
            <w:pPr>
              <w:rPr>
                <w:sz w:val="20"/>
                <w:szCs w:val="20"/>
              </w:rPr>
            </w:pPr>
          </w:p>
          <w:p w:rsidR="00C05FB2" w:rsidRDefault="003318C5" w:rsidP="00C05FB2">
            <w:pPr>
              <w:rPr>
                <w:sz w:val="20"/>
                <w:szCs w:val="20"/>
              </w:rPr>
            </w:pPr>
            <w:r w:rsidRPr="003318C5">
              <w:rPr>
                <w:b/>
                <w:sz w:val="20"/>
                <w:szCs w:val="20"/>
              </w:rPr>
              <w:lastRenderedPageBreak/>
              <w:t>See FCP/INCO/082/16E-Rev.1</w:t>
            </w:r>
          </w:p>
          <w:p w:rsidR="00C05FB2" w:rsidRPr="00AB27B4" w:rsidRDefault="00C05FB2" w:rsidP="00C05FB2">
            <w:pPr>
              <w:rPr>
                <w:sz w:val="20"/>
                <w:szCs w:val="20"/>
              </w:rPr>
            </w:pPr>
          </w:p>
        </w:tc>
        <w:tc>
          <w:tcPr>
            <w:tcW w:w="660" w:type="pct"/>
          </w:tcPr>
          <w:p w:rsidR="00C05FB2" w:rsidRDefault="00C05FB2" w:rsidP="00C05FB2">
            <w:pPr>
              <w:rPr>
                <w:sz w:val="20"/>
                <w:szCs w:val="20"/>
              </w:rPr>
            </w:pPr>
            <w:r w:rsidRPr="00AB27B4">
              <w:rPr>
                <w:sz w:val="20"/>
                <w:szCs w:val="20"/>
              </w:rPr>
              <w:lastRenderedPageBreak/>
              <w:t>5 March 2016</w:t>
            </w:r>
            <w:r>
              <w:rPr>
                <w:sz w:val="20"/>
                <w:szCs w:val="20"/>
              </w:rPr>
              <w:t xml:space="preserve"> (under Art. 45 of 1169/2011)</w:t>
            </w:r>
          </w:p>
          <w:p w:rsidR="00C05FB2" w:rsidRDefault="00C05FB2" w:rsidP="00C05FB2">
            <w:pPr>
              <w:rPr>
                <w:sz w:val="20"/>
                <w:szCs w:val="20"/>
              </w:rPr>
            </w:pPr>
          </w:p>
          <w:p w:rsidR="00C05FB2" w:rsidRDefault="00C05FB2" w:rsidP="00C05FB2">
            <w:pPr>
              <w:rPr>
                <w:sz w:val="20"/>
                <w:szCs w:val="20"/>
              </w:rPr>
            </w:pPr>
            <w:r>
              <w:rPr>
                <w:sz w:val="20"/>
                <w:szCs w:val="20"/>
              </w:rPr>
              <w:t>The Commission did not raise objections to the decree</w:t>
            </w:r>
            <w:r w:rsidR="00494C4A">
              <w:rPr>
                <w:sz w:val="20"/>
                <w:szCs w:val="20"/>
              </w:rPr>
              <w:t xml:space="preserve"> within the set deadline</w:t>
            </w:r>
            <w:r>
              <w:rPr>
                <w:sz w:val="20"/>
                <w:szCs w:val="20"/>
              </w:rPr>
              <w:t>.</w:t>
            </w:r>
          </w:p>
          <w:p w:rsidR="00C05FB2" w:rsidRDefault="00C05FB2" w:rsidP="00C05FB2">
            <w:pPr>
              <w:rPr>
                <w:sz w:val="20"/>
                <w:szCs w:val="20"/>
              </w:rPr>
            </w:pPr>
          </w:p>
          <w:p w:rsidR="00C05FB2" w:rsidRDefault="00C05FB2" w:rsidP="00C05FB2">
            <w:pPr>
              <w:rPr>
                <w:b/>
                <w:sz w:val="20"/>
                <w:szCs w:val="20"/>
              </w:rPr>
            </w:pPr>
            <w:r>
              <w:rPr>
                <w:sz w:val="20"/>
                <w:szCs w:val="20"/>
              </w:rPr>
              <w:t xml:space="preserve">The decree </w:t>
            </w:r>
            <w:r w:rsidR="00494C4A">
              <w:rPr>
                <w:sz w:val="20"/>
                <w:szCs w:val="20"/>
              </w:rPr>
              <w:t xml:space="preserve">was </w:t>
            </w:r>
            <w:r w:rsidRPr="00261B74">
              <w:rPr>
                <w:sz w:val="20"/>
                <w:szCs w:val="20"/>
              </w:rPr>
              <w:t>published on the national Off</w:t>
            </w:r>
            <w:r>
              <w:rPr>
                <w:sz w:val="20"/>
                <w:szCs w:val="20"/>
              </w:rPr>
              <w:t>icial Journal on 21 August 2016</w:t>
            </w:r>
          </w:p>
          <w:p w:rsidR="00C05FB2" w:rsidRDefault="00C05FB2" w:rsidP="00C05FB2">
            <w:pPr>
              <w:rPr>
                <w:b/>
                <w:sz w:val="20"/>
                <w:szCs w:val="20"/>
              </w:rPr>
            </w:pPr>
          </w:p>
          <w:p w:rsidR="00C05FB2" w:rsidRDefault="00C05FB2" w:rsidP="00C05FB2">
            <w:pPr>
              <w:rPr>
                <w:b/>
                <w:sz w:val="20"/>
                <w:szCs w:val="20"/>
              </w:rPr>
            </w:pPr>
            <w:r>
              <w:rPr>
                <w:sz w:val="20"/>
                <w:szCs w:val="20"/>
              </w:rPr>
              <w:t xml:space="preserve">The </w:t>
            </w:r>
            <w:r w:rsidRPr="001537B8">
              <w:rPr>
                <w:sz w:val="20"/>
                <w:szCs w:val="20"/>
              </w:rPr>
              <w:t xml:space="preserve">accompanying Arrêté </w:t>
            </w:r>
            <w:r w:rsidR="00494C4A">
              <w:rPr>
                <w:sz w:val="20"/>
                <w:szCs w:val="20"/>
              </w:rPr>
              <w:t xml:space="preserve">was </w:t>
            </w:r>
            <w:r w:rsidRPr="001537B8">
              <w:rPr>
                <w:sz w:val="20"/>
                <w:szCs w:val="20"/>
              </w:rPr>
              <w:t xml:space="preserve">published on the French Official Journal on 30 September 2016 </w:t>
            </w:r>
            <w:r w:rsidRPr="003318C5">
              <w:rPr>
                <w:sz w:val="20"/>
                <w:szCs w:val="20"/>
              </w:rPr>
              <w:t>(</w:t>
            </w:r>
            <w:r w:rsidRPr="003318C5">
              <w:rPr>
                <w:b/>
                <w:sz w:val="20"/>
                <w:szCs w:val="20"/>
              </w:rPr>
              <w:t>See FCP/INCO/082/16E-Rev.1)</w:t>
            </w:r>
          </w:p>
          <w:p w:rsidR="00C05FB2" w:rsidRPr="001537B8" w:rsidRDefault="00C05FB2" w:rsidP="00C05FB2">
            <w:pPr>
              <w:rPr>
                <w:b/>
                <w:sz w:val="20"/>
                <w:szCs w:val="20"/>
              </w:rPr>
            </w:pPr>
          </w:p>
          <w:p w:rsidR="00C05FB2" w:rsidRDefault="00C05FB2" w:rsidP="00C05FB2">
            <w:pPr>
              <w:rPr>
                <w:sz w:val="20"/>
                <w:szCs w:val="20"/>
              </w:rPr>
            </w:pPr>
          </w:p>
          <w:p w:rsidR="00C05FB2" w:rsidRPr="001537B8" w:rsidRDefault="00C05FB2" w:rsidP="00C05FB2">
            <w:pPr>
              <w:rPr>
                <w:sz w:val="20"/>
                <w:szCs w:val="20"/>
              </w:rPr>
            </w:pPr>
          </w:p>
          <w:p w:rsidR="00C05FB2" w:rsidRPr="00AB27B4" w:rsidRDefault="00C05FB2" w:rsidP="00C05FB2">
            <w:pPr>
              <w:rPr>
                <w:sz w:val="20"/>
                <w:szCs w:val="20"/>
              </w:rPr>
            </w:pPr>
          </w:p>
        </w:tc>
        <w:tc>
          <w:tcPr>
            <w:tcW w:w="407" w:type="pct"/>
          </w:tcPr>
          <w:p w:rsidR="00C05FB2" w:rsidRPr="00AB27B4" w:rsidRDefault="00C05FB2" w:rsidP="00C05FB2">
            <w:pPr>
              <w:rPr>
                <w:sz w:val="20"/>
                <w:szCs w:val="20"/>
              </w:rPr>
            </w:pPr>
            <w:r>
              <w:rPr>
                <w:sz w:val="20"/>
                <w:szCs w:val="20"/>
              </w:rPr>
              <w:lastRenderedPageBreak/>
              <w:t xml:space="preserve">1 January 2017 (until </w:t>
            </w:r>
            <w:r w:rsidRPr="00AB27B4">
              <w:rPr>
                <w:sz w:val="20"/>
                <w:szCs w:val="20"/>
              </w:rPr>
              <w:t>31 December 2018)</w:t>
            </w:r>
          </w:p>
        </w:tc>
        <w:tc>
          <w:tcPr>
            <w:tcW w:w="1103" w:type="pct"/>
          </w:tcPr>
          <w:p w:rsidR="00C05FB2" w:rsidRPr="002C78A6" w:rsidRDefault="00C05FB2" w:rsidP="00C05FB2">
            <w:pPr>
              <w:jc w:val="both"/>
              <w:rPr>
                <w:sz w:val="20"/>
                <w:szCs w:val="20"/>
              </w:rPr>
            </w:pPr>
          </w:p>
        </w:tc>
        <w:tc>
          <w:tcPr>
            <w:tcW w:w="1119" w:type="pct"/>
            <w:tcBorders>
              <w:top w:val="single" w:sz="4" w:space="0" w:color="auto"/>
              <w:left w:val="single" w:sz="4" w:space="0" w:color="auto"/>
              <w:bottom w:val="single" w:sz="4" w:space="0" w:color="auto"/>
              <w:right w:val="single" w:sz="4" w:space="0" w:color="auto"/>
            </w:tcBorders>
          </w:tcPr>
          <w:p w:rsidR="00C05FB2" w:rsidRPr="003318C5" w:rsidRDefault="00C05FB2" w:rsidP="00C05FB2">
            <w:pPr>
              <w:pStyle w:val="ListParagraph"/>
              <w:numPr>
                <w:ilvl w:val="0"/>
                <w:numId w:val="14"/>
              </w:numPr>
              <w:rPr>
                <w:sz w:val="20"/>
                <w:szCs w:val="20"/>
              </w:rPr>
            </w:pPr>
            <w:r w:rsidRPr="003318C5">
              <w:rPr>
                <w:sz w:val="20"/>
                <w:szCs w:val="20"/>
              </w:rPr>
              <w:t>FCP/INCO/026/16E-Final</w:t>
            </w:r>
          </w:p>
          <w:p w:rsidR="00C05FB2" w:rsidRPr="003318C5" w:rsidRDefault="00C05FB2" w:rsidP="00C05FB2">
            <w:pPr>
              <w:pStyle w:val="ListParagraph"/>
              <w:numPr>
                <w:ilvl w:val="0"/>
                <w:numId w:val="14"/>
              </w:numPr>
              <w:rPr>
                <w:sz w:val="20"/>
                <w:szCs w:val="20"/>
              </w:rPr>
            </w:pPr>
            <w:r w:rsidRPr="003318C5">
              <w:rPr>
                <w:sz w:val="20"/>
                <w:szCs w:val="20"/>
              </w:rPr>
              <w:t>FCP/INCO/062/16E</w:t>
            </w:r>
          </w:p>
          <w:p w:rsidR="00C05FB2" w:rsidRPr="003318C5" w:rsidRDefault="00C05FB2" w:rsidP="00C05FB2">
            <w:pPr>
              <w:pStyle w:val="ListParagraph"/>
              <w:numPr>
                <w:ilvl w:val="0"/>
                <w:numId w:val="14"/>
              </w:numPr>
              <w:rPr>
                <w:b/>
                <w:sz w:val="20"/>
                <w:szCs w:val="20"/>
              </w:rPr>
            </w:pPr>
            <w:r w:rsidRPr="003318C5">
              <w:rPr>
                <w:sz w:val="20"/>
                <w:szCs w:val="20"/>
              </w:rPr>
              <w:t>C&amp;I/003/16E</w:t>
            </w:r>
          </w:p>
          <w:p w:rsidR="00C05FB2" w:rsidRDefault="00C05FB2" w:rsidP="00C05FB2">
            <w:pPr>
              <w:pStyle w:val="ListParagraph"/>
              <w:numPr>
                <w:ilvl w:val="0"/>
                <w:numId w:val="14"/>
              </w:numPr>
              <w:rPr>
                <w:b/>
                <w:sz w:val="20"/>
                <w:szCs w:val="20"/>
              </w:rPr>
            </w:pPr>
            <w:r w:rsidRPr="003318C5">
              <w:rPr>
                <w:sz w:val="20"/>
                <w:szCs w:val="20"/>
              </w:rPr>
              <w:t>Various e-mails to cabinets and DGs</w:t>
            </w:r>
          </w:p>
        </w:tc>
      </w:tr>
    </w:tbl>
    <w:p w:rsidR="006D6DDB" w:rsidRDefault="006D6DDB" w:rsidP="006D6DDB">
      <w:pPr>
        <w:rPr>
          <w:sz w:val="20"/>
          <w:szCs w:val="20"/>
        </w:rPr>
      </w:pPr>
    </w:p>
    <w:p w:rsidR="00C15D4F" w:rsidRDefault="00C15D4F" w:rsidP="006D6DDB">
      <w:pPr>
        <w:rPr>
          <w:sz w:val="20"/>
          <w:szCs w:val="20"/>
        </w:rPr>
      </w:pPr>
    </w:p>
    <w:p w:rsidR="00512B9C" w:rsidRDefault="00C15D4F" w:rsidP="006D6DDB">
      <w:pPr>
        <w:rPr>
          <w:sz w:val="20"/>
          <w:szCs w:val="20"/>
        </w:rPr>
      </w:pPr>
      <w:r w:rsidRPr="00C15D4F">
        <w:rPr>
          <w:b/>
          <w:sz w:val="24"/>
          <w:szCs w:val="20"/>
        </w:rPr>
        <w:t>Previous notifications</w:t>
      </w:r>
      <w:r>
        <w:rPr>
          <w:b/>
          <w:sz w:val="24"/>
          <w:szCs w:val="20"/>
        </w:rPr>
        <w:t xml:space="preserve"> of </w:t>
      </w:r>
      <w:r w:rsidR="00512B9C">
        <w:rPr>
          <w:b/>
          <w:sz w:val="24"/>
          <w:szCs w:val="20"/>
        </w:rPr>
        <w:t xml:space="preserve">national rules on </w:t>
      </w:r>
      <w:r>
        <w:rPr>
          <w:b/>
          <w:sz w:val="24"/>
          <w:szCs w:val="20"/>
        </w:rPr>
        <w:t>mandatory origin labelling</w:t>
      </w:r>
      <w:r w:rsidR="00512B9C">
        <w:rPr>
          <w:b/>
          <w:sz w:val="24"/>
          <w:szCs w:val="20"/>
        </w:rPr>
        <w:t xml:space="preserve"> under the TRIS system</w:t>
      </w:r>
      <w:r w:rsidR="003A2620">
        <w:rPr>
          <w:b/>
          <w:sz w:val="24"/>
          <w:szCs w:val="20"/>
        </w:rPr>
        <w:t xml:space="preserve"> (discontinued)</w:t>
      </w:r>
      <w:r w:rsidR="003A2620">
        <w:rPr>
          <w:b/>
          <w:sz w:val="24"/>
          <w:szCs w:val="20"/>
        </w:rPr>
        <w:br/>
      </w:r>
      <w:r w:rsidRPr="00C15D4F">
        <w:rPr>
          <w:b/>
          <w:sz w:val="20"/>
          <w:szCs w:val="20"/>
        </w:rPr>
        <w:t xml:space="preserve"> </w:t>
      </w:r>
    </w:p>
    <w:tbl>
      <w:tblPr>
        <w:tblStyle w:val="TableGrid"/>
        <w:tblW w:w="5000" w:type="pct"/>
        <w:tblLook w:val="04A0" w:firstRow="1" w:lastRow="0" w:firstColumn="1" w:lastColumn="0" w:noHBand="0" w:noVBand="1"/>
      </w:tblPr>
      <w:tblGrid>
        <w:gridCol w:w="2927"/>
        <w:gridCol w:w="3595"/>
        <w:gridCol w:w="4074"/>
        <w:gridCol w:w="3578"/>
      </w:tblGrid>
      <w:tr w:rsidR="002C78A6" w:rsidTr="00737374">
        <w:tc>
          <w:tcPr>
            <w:tcW w:w="1033" w:type="pct"/>
            <w:shd w:val="clear" w:color="auto" w:fill="9CC2E5" w:themeFill="accent1" w:themeFillTint="99"/>
          </w:tcPr>
          <w:p w:rsidR="002C78A6" w:rsidRPr="00C81B0C" w:rsidRDefault="002C78A6" w:rsidP="006D6DDB">
            <w:pPr>
              <w:rPr>
                <w:b/>
                <w:sz w:val="20"/>
                <w:szCs w:val="20"/>
              </w:rPr>
            </w:pPr>
            <w:r w:rsidRPr="00C81B0C">
              <w:rPr>
                <w:b/>
                <w:sz w:val="20"/>
                <w:szCs w:val="20"/>
              </w:rPr>
              <w:t>Country</w:t>
            </w:r>
          </w:p>
        </w:tc>
        <w:tc>
          <w:tcPr>
            <w:tcW w:w="1268" w:type="pct"/>
            <w:shd w:val="clear" w:color="auto" w:fill="9CC2E5" w:themeFill="accent1" w:themeFillTint="99"/>
          </w:tcPr>
          <w:p w:rsidR="002C78A6" w:rsidRDefault="002C78A6" w:rsidP="006D6DDB">
            <w:pPr>
              <w:rPr>
                <w:b/>
                <w:sz w:val="20"/>
                <w:szCs w:val="20"/>
              </w:rPr>
            </w:pPr>
            <w:r>
              <w:rPr>
                <w:b/>
                <w:sz w:val="20"/>
                <w:szCs w:val="20"/>
              </w:rPr>
              <w:t>Year</w:t>
            </w:r>
          </w:p>
        </w:tc>
        <w:tc>
          <w:tcPr>
            <w:tcW w:w="1437" w:type="pct"/>
            <w:shd w:val="clear" w:color="auto" w:fill="9CC2E5" w:themeFill="accent1" w:themeFillTint="99"/>
          </w:tcPr>
          <w:p w:rsidR="002C78A6" w:rsidRPr="00C81B0C" w:rsidRDefault="002C78A6" w:rsidP="006D6DDB">
            <w:pPr>
              <w:rPr>
                <w:b/>
                <w:sz w:val="20"/>
                <w:szCs w:val="20"/>
              </w:rPr>
            </w:pPr>
            <w:r>
              <w:rPr>
                <w:b/>
                <w:sz w:val="20"/>
                <w:szCs w:val="20"/>
              </w:rPr>
              <w:t>Scope</w:t>
            </w:r>
          </w:p>
        </w:tc>
        <w:tc>
          <w:tcPr>
            <w:tcW w:w="1262" w:type="pct"/>
            <w:shd w:val="clear" w:color="auto" w:fill="9CC2E5" w:themeFill="accent1" w:themeFillTint="99"/>
          </w:tcPr>
          <w:p w:rsidR="002C78A6" w:rsidRDefault="002C78A6" w:rsidP="006D6DDB">
            <w:pPr>
              <w:rPr>
                <w:b/>
                <w:sz w:val="20"/>
                <w:szCs w:val="20"/>
              </w:rPr>
            </w:pPr>
            <w:r>
              <w:rPr>
                <w:b/>
                <w:sz w:val="20"/>
                <w:szCs w:val="20"/>
              </w:rPr>
              <w:t>TRIS notification number</w:t>
            </w:r>
          </w:p>
          <w:p w:rsidR="00737374" w:rsidRDefault="00737374" w:rsidP="006D6DDB">
            <w:pPr>
              <w:rPr>
                <w:b/>
                <w:sz w:val="20"/>
                <w:szCs w:val="20"/>
              </w:rPr>
            </w:pPr>
          </w:p>
        </w:tc>
      </w:tr>
      <w:tr w:rsidR="002C78A6" w:rsidTr="002C78A6">
        <w:tc>
          <w:tcPr>
            <w:tcW w:w="1033" w:type="pct"/>
          </w:tcPr>
          <w:p w:rsidR="002C78A6" w:rsidRPr="003A2620" w:rsidRDefault="002C78A6" w:rsidP="006D6DDB">
            <w:pPr>
              <w:rPr>
                <w:b/>
                <w:sz w:val="20"/>
                <w:szCs w:val="20"/>
              </w:rPr>
            </w:pPr>
            <w:r w:rsidRPr="003A2620">
              <w:rPr>
                <w:b/>
                <w:sz w:val="20"/>
                <w:szCs w:val="20"/>
              </w:rPr>
              <w:t>Switzerland</w:t>
            </w:r>
          </w:p>
        </w:tc>
        <w:tc>
          <w:tcPr>
            <w:tcW w:w="1268" w:type="pct"/>
          </w:tcPr>
          <w:p w:rsidR="002C78A6" w:rsidRDefault="002C78A6" w:rsidP="006D6DDB">
            <w:pPr>
              <w:rPr>
                <w:sz w:val="20"/>
                <w:szCs w:val="20"/>
              </w:rPr>
            </w:pPr>
            <w:r>
              <w:rPr>
                <w:sz w:val="20"/>
                <w:szCs w:val="20"/>
              </w:rPr>
              <w:t>2015</w:t>
            </w:r>
          </w:p>
        </w:tc>
        <w:tc>
          <w:tcPr>
            <w:tcW w:w="1437" w:type="pct"/>
          </w:tcPr>
          <w:p w:rsidR="002C78A6" w:rsidRDefault="002C78A6" w:rsidP="006D6DDB">
            <w:pPr>
              <w:rPr>
                <w:sz w:val="20"/>
                <w:szCs w:val="20"/>
              </w:rPr>
            </w:pPr>
            <w:r>
              <w:rPr>
                <w:sz w:val="20"/>
                <w:szCs w:val="20"/>
              </w:rPr>
              <w:t>C</w:t>
            </w:r>
            <w:r w:rsidRPr="00C81B0C">
              <w:rPr>
                <w:sz w:val="20"/>
                <w:szCs w:val="20"/>
              </w:rPr>
              <w:t>ountry of production and the origin of the main raw materials on every foodstuff</w:t>
            </w:r>
          </w:p>
        </w:tc>
        <w:tc>
          <w:tcPr>
            <w:tcW w:w="1262" w:type="pct"/>
          </w:tcPr>
          <w:p w:rsidR="002C78A6" w:rsidRPr="00C81B0C" w:rsidRDefault="002C78A6" w:rsidP="00C81B0C">
            <w:pPr>
              <w:rPr>
                <w:sz w:val="20"/>
                <w:szCs w:val="20"/>
              </w:rPr>
            </w:pPr>
            <w:r w:rsidRPr="00C81B0C">
              <w:rPr>
                <w:sz w:val="20"/>
                <w:szCs w:val="20"/>
                <w:lang w:val="en-US"/>
              </w:rPr>
              <w:t>2015/9504/CH (</w:t>
            </w:r>
            <w:hyperlink r:id="rId10" w:history="1">
              <w:r w:rsidRPr="00C81B0C">
                <w:rPr>
                  <w:rStyle w:val="Hyperlink"/>
                  <w:lang w:val="en-US"/>
                </w:rPr>
                <w:t>l</w:t>
              </w:r>
              <w:r w:rsidRPr="00C81B0C">
                <w:rPr>
                  <w:rStyle w:val="Hyperlink"/>
                  <w:sz w:val="20"/>
                  <w:szCs w:val="20"/>
                  <w:lang w:val="en-US"/>
                </w:rPr>
                <w:t>ink</w:t>
              </w:r>
            </w:hyperlink>
            <w:r w:rsidRPr="00C81B0C">
              <w:rPr>
                <w:sz w:val="20"/>
                <w:szCs w:val="20"/>
              </w:rPr>
              <w:t>)</w:t>
            </w:r>
          </w:p>
        </w:tc>
      </w:tr>
      <w:tr w:rsidR="002C78A6" w:rsidTr="002C78A6">
        <w:tc>
          <w:tcPr>
            <w:tcW w:w="1033" w:type="pct"/>
          </w:tcPr>
          <w:p w:rsidR="002C78A6" w:rsidRPr="003A2620" w:rsidRDefault="002C78A6" w:rsidP="005D32DC">
            <w:pPr>
              <w:rPr>
                <w:b/>
                <w:sz w:val="20"/>
                <w:szCs w:val="20"/>
              </w:rPr>
            </w:pPr>
            <w:r w:rsidRPr="003A2620">
              <w:rPr>
                <w:b/>
                <w:sz w:val="20"/>
                <w:szCs w:val="20"/>
              </w:rPr>
              <w:t>Lithuania</w:t>
            </w:r>
          </w:p>
        </w:tc>
        <w:tc>
          <w:tcPr>
            <w:tcW w:w="1268" w:type="pct"/>
          </w:tcPr>
          <w:p w:rsidR="002C78A6" w:rsidRDefault="002C78A6" w:rsidP="005D32DC">
            <w:pPr>
              <w:rPr>
                <w:sz w:val="20"/>
                <w:szCs w:val="20"/>
              </w:rPr>
            </w:pPr>
            <w:r>
              <w:rPr>
                <w:sz w:val="20"/>
                <w:szCs w:val="20"/>
              </w:rPr>
              <w:t>2015</w:t>
            </w:r>
          </w:p>
        </w:tc>
        <w:tc>
          <w:tcPr>
            <w:tcW w:w="1437" w:type="pct"/>
          </w:tcPr>
          <w:p w:rsidR="002C78A6" w:rsidRDefault="002C78A6" w:rsidP="005D32DC">
            <w:pPr>
              <w:rPr>
                <w:sz w:val="20"/>
                <w:szCs w:val="20"/>
              </w:rPr>
            </w:pPr>
            <w:r>
              <w:rPr>
                <w:sz w:val="20"/>
                <w:szCs w:val="20"/>
              </w:rPr>
              <w:t>Milk and milk products</w:t>
            </w:r>
          </w:p>
        </w:tc>
        <w:tc>
          <w:tcPr>
            <w:tcW w:w="1262" w:type="pct"/>
          </w:tcPr>
          <w:p w:rsidR="002C78A6" w:rsidRDefault="002C78A6" w:rsidP="005D32DC">
            <w:pPr>
              <w:rPr>
                <w:sz w:val="20"/>
                <w:szCs w:val="20"/>
              </w:rPr>
            </w:pPr>
            <w:r w:rsidRPr="005D32DC">
              <w:rPr>
                <w:sz w:val="20"/>
                <w:szCs w:val="20"/>
                <w:lang w:val="en-US"/>
              </w:rPr>
              <w:t>2015/465/LT</w:t>
            </w:r>
            <w:r>
              <w:rPr>
                <w:sz w:val="20"/>
                <w:szCs w:val="20"/>
                <w:lang w:val="en-US"/>
              </w:rPr>
              <w:t xml:space="preserve"> (</w:t>
            </w:r>
            <w:hyperlink r:id="rId11" w:history="1">
              <w:r>
                <w:rPr>
                  <w:rStyle w:val="Hyperlink"/>
                  <w:lang w:val="en-US"/>
                </w:rPr>
                <w:t>l</w:t>
              </w:r>
              <w:r w:rsidRPr="005D32DC">
                <w:rPr>
                  <w:rStyle w:val="Hyperlink"/>
                  <w:sz w:val="20"/>
                  <w:szCs w:val="20"/>
                  <w:lang w:val="en-US"/>
                </w:rPr>
                <w:t>ink</w:t>
              </w:r>
            </w:hyperlink>
            <w:r>
              <w:rPr>
                <w:sz w:val="20"/>
                <w:szCs w:val="20"/>
              </w:rPr>
              <w:t>)</w:t>
            </w:r>
          </w:p>
        </w:tc>
      </w:tr>
      <w:tr w:rsidR="002C78A6" w:rsidTr="002C78A6">
        <w:trPr>
          <w:trHeight w:val="86"/>
        </w:trPr>
        <w:tc>
          <w:tcPr>
            <w:tcW w:w="1033" w:type="pct"/>
          </w:tcPr>
          <w:p w:rsidR="002C78A6" w:rsidRPr="003A2620" w:rsidRDefault="002C78A6" w:rsidP="006D6DDB">
            <w:pPr>
              <w:rPr>
                <w:b/>
                <w:sz w:val="20"/>
                <w:szCs w:val="20"/>
              </w:rPr>
            </w:pPr>
            <w:r w:rsidRPr="003A2620">
              <w:rPr>
                <w:b/>
                <w:sz w:val="20"/>
                <w:szCs w:val="20"/>
              </w:rPr>
              <w:t>Hungary</w:t>
            </w:r>
          </w:p>
        </w:tc>
        <w:tc>
          <w:tcPr>
            <w:tcW w:w="1268" w:type="pct"/>
          </w:tcPr>
          <w:p w:rsidR="002C78A6" w:rsidRDefault="002C78A6" w:rsidP="00C81B0C">
            <w:pPr>
              <w:rPr>
                <w:sz w:val="20"/>
                <w:szCs w:val="20"/>
              </w:rPr>
            </w:pPr>
            <w:r>
              <w:rPr>
                <w:sz w:val="20"/>
                <w:szCs w:val="20"/>
              </w:rPr>
              <w:t>2014</w:t>
            </w:r>
          </w:p>
        </w:tc>
        <w:tc>
          <w:tcPr>
            <w:tcW w:w="1437" w:type="pct"/>
          </w:tcPr>
          <w:p w:rsidR="002C78A6" w:rsidRDefault="002C78A6" w:rsidP="00C81B0C">
            <w:pPr>
              <w:rPr>
                <w:sz w:val="20"/>
                <w:szCs w:val="20"/>
              </w:rPr>
            </w:pPr>
            <w:r>
              <w:rPr>
                <w:sz w:val="20"/>
                <w:szCs w:val="20"/>
              </w:rPr>
              <w:t>Milk and butter products</w:t>
            </w:r>
          </w:p>
        </w:tc>
        <w:tc>
          <w:tcPr>
            <w:tcW w:w="1262" w:type="pct"/>
          </w:tcPr>
          <w:p w:rsidR="002C78A6" w:rsidRPr="00C81B0C" w:rsidRDefault="002C78A6" w:rsidP="006D6DDB">
            <w:pPr>
              <w:rPr>
                <w:sz w:val="20"/>
                <w:szCs w:val="20"/>
                <w:u w:val="single"/>
                <w:lang w:val="en-US"/>
              </w:rPr>
            </w:pPr>
            <w:r w:rsidRPr="00C81B0C">
              <w:rPr>
                <w:sz w:val="20"/>
                <w:szCs w:val="20"/>
                <w:lang w:val="en-US"/>
              </w:rPr>
              <w:t>2014/647/HU</w:t>
            </w:r>
            <w:r>
              <w:rPr>
                <w:sz w:val="20"/>
                <w:szCs w:val="20"/>
                <w:lang w:val="en-US"/>
              </w:rPr>
              <w:t xml:space="preserve"> (</w:t>
            </w:r>
            <w:hyperlink r:id="rId12" w:history="1">
              <w:r>
                <w:rPr>
                  <w:rStyle w:val="Hyperlink"/>
                  <w:sz w:val="20"/>
                  <w:szCs w:val="20"/>
                  <w:lang w:val="en-US"/>
                </w:rPr>
                <w:t>l</w:t>
              </w:r>
              <w:r w:rsidRPr="00C81B0C">
                <w:rPr>
                  <w:rStyle w:val="Hyperlink"/>
                  <w:sz w:val="20"/>
                  <w:szCs w:val="20"/>
                  <w:lang w:val="en-US"/>
                </w:rPr>
                <w:t>ink</w:t>
              </w:r>
            </w:hyperlink>
            <w:r>
              <w:rPr>
                <w:sz w:val="20"/>
                <w:szCs w:val="20"/>
              </w:rPr>
              <w:t>)</w:t>
            </w:r>
          </w:p>
        </w:tc>
      </w:tr>
      <w:tr w:rsidR="002C78A6" w:rsidTr="002C78A6">
        <w:tc>
          <w:tcPr>
            <w:tcW w:w="1033" w:type="pct"/>
          </w:tcPr>
          <w:p w:rsidR="002C78A6" w:rsidRPr="003A2620" w:rsidRDefault="002C78A6" w:rsidP="006D6DDB">
            <w:pPr>
              <w:rPr>
                <w:b/>
                <w:sz w:val="20"/>
                <w:szCs w:val="20"/>
              </w:rPr>
            </w:pPr>
            <w:r w:rsidRPr="003A2620">
              <w:rPr>
                <w:b/>
                <w:sz w:val="20"/>
                <w:szCs w:val="20"/>
              </w:rPr>
              <w:t>Italy</w:t>
            </w:r>
          </w:p>
        </w:tc>
        <w:tc>
          <w:tcPr>
            <w:tcW w:w="1268" w:type="pct"/>
          </w:tcPr>
          <w:p w:rsidR="002C78A6" w:rsidRDefault="002C78A6" w:rsidP="006D6DDB">
            <w:pPr>
              <w:rPr>
                <w:sz w:val="20"/>
                <w:szCs w:val="20"/>
              </w:rPr>
            </w:pPr>
            <w:r>
              <w:rPr>
                <w:sz w:val="20"/>
                <w:szCs w:val="20"/>
              </w:rPr>
              <w:t>2012</w:t>
            </w:r>
          </w:p>
        </w:tc>
        <w:tc>
          <w:tcPr>
            <w:tcW w:w="1437" w:type="pct"/>
          </w:tcPr>
          <w:p w:rsidR="002C78A6" w:rsidRDefault="002C78A6" w:rsidP="006D6DDB">
            <w:pPr>
              <w:rPr>
                <w:sz w:val="20"/>
                <w:szCs w:val="20"/>
              </w:rPr>
            </w:pPr>
            <w:r>
              <w:rPr>
                <w:sz w:val="20"/>
                <w:szCs w:val="20"/>
              </w:rPr>
              <w:t>Milk and milk products</w:t>
            </w:r>
          </w:p>
        </w:tc>
        <w:tc>
          <w:tcPr>
            <w:tcW w:w="1262" w:type="pct"/>
          </w:tcPr>
          <w:p w:rsidR="002C78A6" w:rsidRDefault="002C78A6" w:rsidP="00275962">
            <w:pPr>
              <w:rPr>
                <w:sz w:val="20"/>
                <w:szCs w:val="20"/>
              </w:rPr>
            </w:pPr>
            <w:r w:rsidRPr="005D32DC">
              <w:rPr>
                <w:sz w:val="20"/>
                <w:szCs w:val="20"/>
                <w:lang w:val="en-US"/>
              </w:rPr>
              <w:t>2012/629/I</w:t>
            </w:r>
            <w:r>
              <w:rPr>
                <w:sz w:val="20"/>
                <w:szCs w:val="20"/>
                <w:lang w:val="en-US"/>
              </w:rPr>
              <w:t xml:space="preserve"> (</w:t>
            </w:r>
            <w:hyperlink r:id="rId13" w:history="1">
              <w:r w:rsidRPr="00275962">
                <w:rPr>
                  <w:rStyle w:val="Hyperlink"/>
                  <w:sz w:val="20"/>
                  <w:szCs w:val="20"/>
                  <w:lang w:val="en-US"/>
                </w:rPr>
                <w:t>link</w:t>
              </w:r>
            </w:hyperlink>
            <w:r>
              <w:rPr>
                <w:sz w:val="20"/>
                <w:szCs w:val="20"/>
              </w:rPr>
              <w:t>)</w:t>
            </w:r>
          </w:p>
        </w:tc>
      </w:tr>
    </w:tbl>
    <w:p w:rsidR="00512B9C" w:rsidRPr="00512B9C" w:rsidRDefault="00512B9C" w:rsidP="003318C5">
      <w:pPr>
        <w:rPr>
          <w:sz w:val="20"/>
          <w:szCs w:val="20"/>
        </w:rPr>
      </w:pPr>
    </w:p>
    <w:sectPr w:rsidR="00512B9C" w:rsidRPr="00512B9C" w:rsidSect="0013589C">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B3A" w:rsidRDefault="00A73B3A" w:rsidP="001B4277">
      <w:r>
        <w:separator/>
      </w:r>
    </w:p>
  </w:endnote>
  <w:endnote w:type="continuationSeparator" w:id="0">
    <w:p w:rsidR="00A73B3A" w:rsidRDefault="00A73B3A" w:rsidP="001B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9C" w:rsidRDefault="001358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1B4277" w:rsidRPr="0013589C" w:rsidRDefault="0013589C" w:rsidP="0013589C">
    <w:pPr>
      <w:pStyle w:val="Footer"/>
      <w:jc w:val="right"/>
      <w:rPr>
        <w:rFonts w:ascii="Arial" w:hAnsi="Arial" w:cs="Arial"/>
        <w:color w:val="333399"/>
        <w:sz w:val="18"/>
      </w:rPr>
    </w:pPr>
    <w:r w:rsidRPr="0013589C">
      <w:rPr>
        <w:rFonts w:ascii="Arial" w:hAnsi="Arial" w:cs="Arial"/>
        <w:color w:val="333399"/>
        <w:sz w:val="18"/>
      </w:rPr>
      <w:fldChar w:fldCharType="begin"/>
    </w:r>
    <w:r w:rsidRPr="0013589C">
      <w:rPr>
        <w:rFonts w:ascii="Arial" w:hAnsi="Arial" w:cs="Arial"/>
        <w:color w:val="333399"/>
        <w:sz w:val="18"/>
      </w:rPr>
      <w:instrText xml:space="preserve"> PAGE \* MERGEFORMAT </w:instrText>
    </w:r>
    <w:r w:rsidRPr="0013589C">
      <w:rPr>
        <w:rFonts w:ascii="Arial" w:hAnsi="Arial" w:cs="Arial"/>
        <w:color w:val="333399"/>
        <w:sz w:val="18"/>
      </w:rPr>
      <w:fldChar w:fldCharType="separate"/>
    </w:r>
    <w:r>
      <w:rPr>
        <w:rFonts w:ascii="Arial" w:hAnsi="Arial" w:cs="Arial"/>
        <w:noProof/>
        <w:color w:val="333399"/>
        <w:sz w:val="18"/>
      </w:rPr>
      <w:t>2</w:t>
    </w:r>
    <w:r w:rsidRPr="0013589C">
      <w:rPr>
        <w:rFonts w:ascii="Arial" w:hAnsi="Arial" w:cs="Arial"/>
        <w:color w:val="333399"/>
        <w:sz w:val="18"/>
      </w:rPr>
      <w:fldChar w:fldCharType="end"/>
    </w:r>
    <w:r w:rsidRPr="0013589C">
      <w:rPr>
        <w:rFonts w:ascii="Arial" w:hAnsi="Arial" w:cs="Arial"/>
        <w:color w:val="333399"/>
        <w:sz w:val="18"/>
      </w:rPr>
      <w:t>/</w:t>
    </w:r>
    <w:r w:rsidRPr="0013589C">
      <w:rPr>
        <w:rFonts w:ascii="Arial" w:hAnsi="Arial" w:cs="Arial"/>
        <w:color w:val="333399"/>
        <w:sz w:val="18"/>
      </w:rPr>
      <w:fldChar w:fldCharType="begin"/>
    </w:r>
    <w:r w:rsidRPr="0013589C">
      <w:rPr>
        <w:rFonts w:ascii="Arial" w:hAnsi="Arial" w:cs="Arial"/>
        <w:color w:val="333399"/>
        <w:sz w:val="18"/>
      </w:rPr>
      <w:instrText xml:space="preserve"> NUMPAGES \* MERGEFORMAT </w:instrText>
    </w:r>
    <w:r w:rsidRPr="0013589C">
      <w:rPr>
        <w:rFonts w:ascii="Arial" w:hAnsi="Arial" w:cs="Arial"/>
        <w:color w:val="333399"/>
        <w:sz w:val="18"/>
      </w:rPr>
      <w:fldChar w:fldCharType="separate"/>
    </w:r>
    <w:r>
      <w:rPr>
        <w:rFonts w:ascii="Arial" w:hAnsi="Arial" w:cs="Arial"/>
        <w:noProof/>
        <w:color w:val="333399"/>
        <w:sz w:val="18"/>
      </w:rPr>
      <w:t>7</w:t>
    </w:r>
    <w:r w:rsidRPr="0013589C">
      <w:rPr>
        <w:rFonts w:ascii="Arial" w:hAnsi="Arial" w:cs="Arial"/>
        <w:color w:val="33339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9C" w:rsidRPr="0013589C" w:rsidRDefault="0013589C" w:rsidP="0013589C">
    <w:pPr>
      <w:pStyle w:val="Footer"/>
      <w:rPr>
        <w:rFonts w:ascii="Arial" w:hAnsi="Arial" w:cs="Arial"/>
        <w:color w:val="333399"/>
        <w:sz w:val="18"/>
      </w:rPr>
    </w:pPr>
    <w:r w:rsidRPr="0013589C">
      <w:rPr>
        <w:rFonts w:ascii="Arial" w:hAnsi="Arial" w:cs="Arial"/>
        <w:color w:val="333399"/>
        <w:sz w:val="18"/>
      </w:rPr>
      <w:t>Avenue des Nerviens 9-31 - 1040 Brussels - BELGIUM - Tel. +32 2 514 11 11 </w:t>
    </w:r>
  </w:p>
  <w:p w:rsidR="0013589C" w:rsidRPr="0013589C" w:rsidRDefault="0013589C" w:rsidP="0013589C">
    <w:pPr>
      <w:pStyle w:val="Footer"/>
      <w:rPr>
        <w:rFonts w:ascii="Arial" w:hAnsi="Arial" w:cs="Arial"/>
        <w:color w:val="333399"/>
        <w:sz w:val="18"/>
      </w:rPr>
    </w:pPr>
    <w:r w:rsidRPr="0013589C">
      <w:rPr>
        <w:rFonts w:ascii="Arial" w:hAnsi="Arial" w:cs="Arial"/>
        <w:color w:val="333399"/>
        <w:sz w:val="18"/>
      </w:rPr>
      <w:t>info@fooddrinkeurope.eu - www.fooddrinkeurope.eu - ETI Register 75818824519-45</w:t>
    </w:r>
  </w:p>
  <w:p w:rsidR="001B4277" w:rsidRPr="0013589C" w:rsidRDefault="0013589C" w:rsidP="0013589C">
    <w:pPr>
      <w:pStyle w:val="Footer"/>
      <w:rPr>
        <w:rFonts w:ascii="Arial" w:hAnsi="Arial" w:cs="Arial"/>
        <w:color w:val="333399"/>
        <w:sz w:val="18"/>
      </w:rPr>
    </w:pPr>
    <w:r w:rsidRPr="0013589C">
      <w:rPr>
        <w:rFonts w:ascii="Arial" w:hAnsi="Arial" w:cs="Arial"/>
        <w:color w:val="333399"/>
        <w:sz w:val="18"/>
      </w:rPr>
      <w:t>Copyright FoodDrinkEurope aisbl; photocopying or electronic copying is illegal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B3A" w:rsidRDefault="00A73B3A" w:rsidP="001B4277">
      <w:r>
        <w:separator/>
      </w:r>
    </w:p>
  </w:footnote>
  <w:footnote w:type="continuationSeparator" w:id="0">
    <w:p w:rsidR="00A73B3A" w:rsidRDefault="00A73B3A" w:rsidP="001B4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89C" w:rsidRDefault="001358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9"/>
      <w:gridCol w:w="7049"/>
    </w:tblGrid>
    <w:tr w:rsidR="0013589C" w:rsidRPr="0013589C" w:rsidTr="0013589C">
      <w:tc>
        <w:tcPr>
          <w:tcW w:w="7049" w:type="dxa"/>
          <w:shd w:val="clear" w:color="auto" w:fill="auto"/>
        </w:tcPr>
        <w:p w:rsidR="0013589C" w:rsidRPr="0013589C" w:rsidRDefault="0013589C" w:rsidP="0013589C">
          <w:pPr>
            <w:pStyle w:val="Header"/>
            <w:jc w:val="right"/>
            <w:rPr>
              <w:rFonts w:ascii="Arial" w:hAnsi="Arial" w:cs="Arial"/>
              <w:sz w:val="18"/>
            </w:rPr>
          </w:pPr>
          <w:r w:rsidRPr="0013589C">
            <w:rPr>
              <w:rFonts w:ascii="Arial" w:hAnsi="Arial" w:cs="Arial"/>
              <w:noProof/>
              <w:sz w:val="18"/>
              <w:lang w:val="fr-BE" w:eastAsia="fr-BE"/>
            </w:rPr>
            <w:drawing>
              <wp:inline distT="0" distB="0" distL="0" distR="0" wp14:anchorId="77A60B1D" wp14:editId="38054395">
                <wp:extent cx="4114800" cy="847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847725"/>
                        </a:xfrm>
                        <a:prstGeom prst="rect">
                          <a:avLst/>
                        </a:prstGeom>
                      </pic:spPr>
                    </pic:pic>
                  </a:graphicData>
                </a:graphic>
              </wp:inline>
            </w:drawing>
          </w:r>
        </w:p>
      </w:tc>
      <w:tc>
        <w:tcPr>
          <w:tcW w:w="7049" w:type="dxa"/>
          <w:shd w:val="clear" w:color="auto" w:fill="auto"/>
        </w:tcPr>
        <w:p w:rsidR="0013589C" w:rsidRPr="0013589C" w:rsidRDefault="0013589C" w:rsidP="0013589C">
          <w:pPr>
            <w:pStyle w:val="Header"/>
            <w:jc w:val="right"/>
            <w:rPr>
              <w:rFonts w:ascii="Arial" w:hAnsi="Arial" w:cs="Arial"/>
              <w:sz w:val="18"/>
            </w:rPr>
          </w:pPr>
        </w:p>
        <w:p w:rsidR="0013589C" w:rsidRPr="0013589C" w:rsidRDefault="0013589C" w:rsidP="0013589C">
          <w:pPr>
            <w:pStyle w:val="Header"/>
            <w:jc w:val="right"/>
            <w:rPr>
              <w:rFonts w:ascii="Arial" w:hAnsi="Arial" w:cs="Arial"/>
              <w:sz w:val="18"/>
            </w:rPr>
          </w:pPr>
        </w:p>
        <w:p w:rsidR="0013589C" w:rsidRPr="0013589C" w:rsidRDefault="0013589C" w:rsidP="0013589C">
          <w:pPr>
            <w:pStyle w:val="Header"/>
            <w:jc w:val="right"/>
            <w:rPr>
              <w:rFonts w:ascii="Arial" w:hAnsi="Arial" w:cs="Arial"/>
              <w:sz w:val="18"/>
            </w:rPr>
          </w:pPr>
          <w:r w:rsidRPr="0013589C">
            <w:rPr>
              <w:rFonts w:ascii="Arial" w:hAnsi="Arial" w:cs="Arial"/>
              <w:sz w:val="18"/>
            </w:rPr>
            <w:t xml:space="preserve"> Annex 1  to FCP/INCO/021/16E-Rev.4</w:t>
          </w:r>
        </w:p>
      </w:tc>
    </w:tr>
  </w:tbl>
  <w:p w:rsidR="001B4277" w:rsidRPr="0013589C" w:rsidRDefault="001B4277" w:rsidP="0013589C">
    <w:pPr>
      <w:pStyle w:val="Header"/>
      <w:jc w:val="right"/>
      <w:rPr>
        <w:rFonts w:ascii="Arial" w:hAnsi="Arial"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9"/>
      <w:gridCol w:w="7049"/>
    </w:tblGrid>
    <w:tr w:rsidR="0013589C" w:rsidRPr="0013589C" w:rsidTr="0013589C">
      <w:tc>
        <w:tcPr>
          <w:tcW w:w="7049" w:type="dxa"/>
          <w:shd w:val="clear" w:color="auto" w:fill="auto"/>
        </w:tcPr>
        <w:p w:rsidR="0013589C" w:rsidRPr="0013589C" w:rsidRDefault="0013589C" w:rsidP="0013589C">
          <w:pPr>
            <w:pStyle w:val="Header"/>
            <w:jc w:val="right"/>
            <w:rPr>
              <w:rFonts w:ascii="Arial" w:hAnsi="Arial" w:cs="Arial"/>
              <w:sz w:val="18"/>
            </w:rPr>
          </w:pPr>
          <w:r w:rsidRPr="0013589C">
            <w:rPr>
              <w:rFonts w:ascii="Arial" w:hAnsi="Arial" w:cs="Arial"/>
              <w:noProof/>
              <w:sz w:val="18"/>
              <w:lang w:val="fr-BE" w:eastAsia="fr-BE"/>
            </w:rPr>
            <w:drawing>
              <wp:inline distT="0" distB="0" distL="0" distR="0" wp14:anchorId="3CFE821F" wp14:editId="0AD2B4AF">
                <wp:extent cx="4114800" cy="1685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4114800" cy="1685925"/>
                        </a:xfrm>
                        <a:prstGeom prst="rect">
                          <a:avLst/>
                        </a:prstGeom>
                      </pic:spPr>
                    </pic:pic>
                  </a:graphicData>
                </a:graphic>
              </wp:inline>
            </w:drawing>
          </w:r>
        </w:p>
      </w:tc>
      <w:tc>
        <w:tcPr>
          <w:tcW w:w="7049" w:type="dxa"/>
          <w:shd w:val="clear" w:color="auto" w:fill="auto"/>
        </w:tcPr>
        <w:p w:rsidR="0013589C" w:rsidRPr="0013589C" w:rsidRDefault="0013589C" w:rsidP="0013589C">
          <w:pPr>
            <w:pStyle w:val="Header"/>
            <w:jc w:val="right"/>
            <w:rPr>
              <w:rFonts w:ascii="Arial" w:hAnsi="Arial" w:cs="Arial"/>
              <w:sz w:val="18"/>
            </w:rPr>
          </w:pPr>
        </w:p>
        <w:p w:rsidR="0013589C" w:rsidRPr="0013589C" w:rsidRDefault="0013589C" w:rsidP="0013589C">
          <w:pPr>
            <w:pStyle w:val="Header"/>
            <w:jc w:val="right"/>
            <w:rPr>
              <w:rFonts w:ascii="Arial" w:hAnsi="Arial" w:cs="Arial"/>
              <w:sz w:val="18"/>
            </w:rPr>
          </w:pPr>
        </w:p>
        <w:p w:rsidR="0013589C" w:rsidRPr="0013589C" w:rsidRDefault="0013589C" w:rsidP="0013589C">
          <w:pPr>
            <w:pStyle w:val="Header"/>
            <w:jc w:val="right"/>
            <w:rPr>
              <w:rFonts w:ascii="Arial" w:hAnsi="Arial" w:cs="Arial"/>
              <w:sz w:val="18"/>
            </w:rPr>
          </w:pPr>
          <w:r w:rsidRPr="0013589C">
            <w:rPr>
              <w:rFonts w:ascii="Arial" w:hAnsi="Arial" w:cs="Arial"/>
              <w:sz w:val="18"/>
            </w:rPr>
            <w:t xml:space="preserve"> Annex 1  to FCP/INCO/021/16E-Rev.4</w:t>
          </w:r>
        </w:p>
      </w:tc>
    </w:tr>
  </w:tbl>
  <w:p w:rsidR="001B4277" w:rsidRPr="0013589C" w:rsidRDefault="001B4277" w:rsidP="0013589C">
    <w:pPr>
      <w:pStyle w:val="Header"/>
      <w:jc w:val="righ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8C9"/>
    <w:multiLevelType w:val="hybridMultilevel"/>
    <w:tmpl w:val="9AF0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032ED"/>
    <w:multiLevelType w:val="hybridMultilevel"/>
    <w:tmpl w:val="89807954"/>
    <w:lvl w:ilvl="0" w:tplc="A26EE35A">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CA38C9"/>
    <w:multiLevelType w:val="hybridMultilevel"/>
    <w:tmpl w:val="4970CBF0"/>
    <w:lvl w:ilvl="0" w:tplc="9C08644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A64D61"/>
    <w:multiLevelType w:val="hybridMultilevel"/>
    <w:tmpl w:val="FC8A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023C8"/>
    <w:multiLevelType w:val="hybridMultilevel"/>
    <w:tmpl w:val="60A8609C"/>
    <w:lvl w:ilvl="0" w:tplc="E15E8C3C">
      <w:start w:val="1"/>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9463E2"/>
    <w:multiLevelType w:val="hybridMultilevel"/>
    <w:tmpl w:val="D8A83152"/>
    <w:lvl w:ilvl="0" w:tplc="1396A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A7011"/>
    <w:multiLevelType w:val="hybridMultilevel"/>
    <w:tmpl w:val="99E68ADA"/>
    <w:lvl w:ilvl="0" w:tplc="A324478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36C67D92"/>
    <w:multiLevelType w:val="hybridMultilevel"/>
    <w:tmpl w:val="1A22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90813"/>
    <w:multiLevelType w:val="hybridMultilevel"/>
    <w:tmpl w:val="E572F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646B66"/>
    <w:multiLevelType w:val="hybridMultilevel"/>
    <w:tmpl w:val="BA4EE22C"/>
    <w:lvl w:ilvl="0" w:tplc="2BB06E2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F2032"/>
    <w:multiLevelType w:val="hybridMultilevel"/>
    <w:tmpl w:val="8A986A74"/>
    <w:lvl w:ilvl="0" w:tplc="1396A2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AB0A14"/>
    <w:multiLevelType w:val="hybridMultilevel"/>
    <w:tmpl w:val="8EB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C27C85"/>
    <w:multiLevelType w:val="hybridMultilevel"/>
    <w:tmpl w:val="B0648102"/>
    <w:lvl w:ilvl="0" w:tplc="35D0CC0E">
      <w:start w:val="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606373FB"/>
    <w:multiLevelType w:val="hybridMultilevel"/>
    <w:tmpl w:val="4476CB28"/>
    <w:lvl w:ilvl="0" w:tplc="1396A204">
      <w:start w:val="1"/>
      <w:numFmt w:val="bullet"/>
      <w:lvlText w:val=""/>
      <w:lvlJc w:val="left"/>
      <w:pPr>
        <w:ind w:left="409" w:hanging="360"/>
      </w:pPr>
      <w:rPr>
        <w:rFonts w:ascii="Symbol" w:hAnsi="Symbol" w:hint="default"/>
        <w:color w:val="auto"/>
      </w:rPr>
    </w:lvl>
    <w:lvl w:ilvl="1" w:tplc="08090003" w:tentative="1">
      <w:start w:val="1"/>
      <w:numFmt w:val="bullet"/>
      <w:lvlText w:val="o"/>
      <w:lvlJc w:val="left"/>
      <w:pPr>
        <w:ind w:left="1129" w:hanging="360"/>
      </w:pPr>
      <w:rPr>
        <w:rFonts w:ascii="Courier New" w:hAnsi="Courier New" w:cs="Courier New" w:hint="default"/>
      </w:rPr>
    </w:lvl>
    <w:lvl w:ilvl="2" w:tplc="08090005" w:tentative="1">
      <w:start w:val="1"/>
      <w:numFmt w:val="bullet"/>
      <w:lvlText w:val=""/>
      <w:lvlJc w:val="left"/>
      <w:pPr>
        <w:ind w:left="1849" w:hanging="360"/>
      </w:pPr>
      <w:rPr>
        <w:rFonts w:ascii="Wingdings" w:hAnsi="Wingdings" w:hint="default"/>
      </w:rPr>
    </w:lvl>
    <w:lvl w:ilvl="3" w:tplc="08090001" w:tentative="1">
      <w:start w:val="1"/>
      <w:numFmt w:val="bullet"/>
      <w:lvlText w:val=""/>
      <w:lvlJc w:val="left"/>
      <w:pPr>
        <w:ind w:left="2569" w:hanging="360"/>
      </w:pPr>
      <w:rPr>
        <w:rFonts w:ascii="Symbol" w:hAnsi="Symbol" w:hint="default"/>
      </w:rPr>
    </w:lvl>
    <w:lvl w:ilvl="4" w:tplc="08090003" w:tentative="1">
      <w:start w:val="1"/>
      <w:numFmt w:val="bullet"/>
      <w:lvlText w:val="o"/>
      <w:lvlJc w:val="left"/>
      <w:pPr>
        <w:ind w:left="3289" w:hanging="360"/>
      </w:pPr>
      <w:rPr>
        <w:rFonts w:ascii="Courier New" w:hAnsi="Courier New" w:cs="Courier New" w:hint="default"/>
      </w:rPr>
    </w:lvl>
    <w:lvl w:ilvl="5" w:tplc="08090005" w:tentative="1">
      <w:start w:val="1"/>
      <w:numFmt w:val="bullet"/>
      <w:lvlText w:val=""/>
      <w:lvlJc w:val="left"/>
      <w:pPr>
        <w:ind w:left="4009" w:hanging="360"/>
      </w:pPr>
      <w:rPr>
        <w:rFonts w:ascii="Wingdings" w:hAnsi="Wingdings" w:hint="default"/>
      </w:rPr>
    </w:lvl>
    <w:lvl w:ilvl="6" w:tplc="08090001" w:tentative="1">
      <w:start w:val="1"/>
      <w:numFmt w:val="bullet"/>
      <w:lvlText w:val=""/>
      <w:lvlJc w:val="left"/>
      <w:pPr>
        <w:ind w:left="4729" w:hanging="360"/>
      </w:pPr>
      <w:rPr>
        <w:rFonts w:ascii="Symbol" w:hAnsi="Symbol" w:hint="default"/>
      </w:rPr>
    </w:lvl>
    <w:lvl w:ilvl="7" w:tplc="08090003" w:tentative="1">
      <w:start w:val="1"/>
      <w:numFmt w:val="bullet"/>
      <w:lvlText w:val="o"/>
      <w:lvlJc w:val="left"/>
      <w:pPr>
        <w:ind w:left="5449" w:hanging="360"/>
      </w:pPr>
      <w:rPr>
        <w:rFonts w:ascii="Courier New" w:hAnsi="Courier New" w:cs="Courier New" w:hint="default"/>
      </w:rPr>
    </w:lvl>
    <w:lvl w:ilvl="8" w:tplc="08090005" w:tentative="1">
      <w:start w:val="1"/>
      <w:numFmt w:val="bullet"/>
      <w:lvlText w:val=""/>
      <w:lvlJc w:val="left"/>
      <w:pPr>
        <w:ind w:left="6169" w:hanging="360"/>
      </w:pPr>
      <w:rPr>
        <w:rFonts w:ascii="Wingdings" w:hAnsi="Wingdings" w:hint="default"/>
      </w:rPr>
    </w:lvl>
  </w:abstractNum>
  <w:abstractNum w:abstractNumId="14">
    <w:nsid w:val="6A003DBD"/>
    <w:multiLevelType w:val="hybridMultilevel"/>
    <w:tmpl w:val="DC0419D6"/>
    <w:lvl w:ilvl="0" w:tplc="A26EE35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2"/>
  </w:num>
  <w:num w:numId="4">
    <w:abstractNumId w:val="13"/>
  </w:num>
  <w:num w:numId="5">
    <w:abstractNumId w:val="4"/>
  </w:num>
  <w:num w:numId="6">
    <w:abstractNumId w:val="10"/>
  </w:num>
  <w:num w:numId="7">
    <w:abstractNumId w:val="5"/>
  </w:num>
  <w:num w:numId="8">
    <w:abstractNumId w:val="0"/>
  </w:num>
  <w:num w:numId="9">
    <w:abstractNumId w:val="1"/>
  </w:num>
  <w:num w:numId="10">
    <w:abstractNumId w:val="14"/>
  </w:num>
  <w:num w:numId="11">
    <w:abstractNumId w:val="12"/>
  </w:num>
  <w:num w:numId="12">
    <w:abstractNumId w:val="6"/>
  </w:num>
  <w:num w:numId="13">
    <w:abstractNumId w:val="7"/>
  </w:num>
  <w:num w:numId="14">
    <w:abstractNumId w:val="8"/>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DB"/>
    <w:rsid w:val="00001892"/>
    <w:rsid w:val="000035AD"/>
    <w:rsid w:val="00016CF9"/>
    <w:rsid w:val="000425CE"/>
    <w:rsid w:val="00065623"/>
    <w:rsid w:val="00077297"/>
    <w:rsid w:val="0008039E"/>
    <w:rsid w:val="00087FAE"/>
    <w:rsid w:val="00096B7F"/>
    <w:rsid w:val="000C00B3"/>
    <w:rsid w:val="000E1C8B"/>
    <w:rsid w:val="00102425"/>
    <w:rsid w:val="0013058E"/>
    <w:rsid w:val="0013589C"/>
    <w:rsid w:val="00142FC1"/>
    <w:rsid w:val="001537B8"/>
    <w:rsid w:val="00162268"/>
    <w:rsid w:val="00174F55"/>
    <w:rsid w:val="00184D93"/>
    <w:rsid w:val="00187DBA"/>
    <w:rsid w:val="00196207"/>
    <w:rsid w:val="001B4277"/>
    <w:rsid w:val="001C25AA"/>
    <w:rsid w:val="001C7312"/>
    <w:rsid w:val="002017D9"/>
    <w:rsid w:val="0020452E"/>
    <w:rsid w:val="00224FA3"/>
    <w:rsid w:val="00245C74"/>
    <w:rsid w:val="00256A08"/>
    <w:rsid w:val="002610AC"/>
    <w:rsid w:val="00261B74"/>
    <w:rsid w:val="0026533F"/>
    <w:rsid w:val="00275962"/>
    <w:rsid w:val="002C78A6"/>
    <w:rsid w:val="002D6CAF"/>
    <w:rsid w:val="0030064D"/>
    <w:rsid w:val="00304FD0"/>
    <w:rsid w:val="003318C5"/>
    <w:rsid w:val="00335C9D"/>
    <w:rsid w:val="00361254"/>
    <w:rsid w:val="00376DD2"/>
    <w:rsid w:val="00393F2A"/>
    <w:rsid w:val="003A2620"/>
    <w:rsid w:val="003D3110"/>
    <w:rsid w:val="003D65AE"/>
    <w:rsid w:val="003D789D"/>
    <w:rsid w:val="003F55EE"/>
    <w:rsid w:val="00405308"/>
    <w:rsid w:val="00405F70"/>
    <w:rsid w:val="00407EE9"/>
    <w:rsid w:val="00417894"/>
    <w:rsid w:val="00426817"/>
    <w:rsid w:val="00430032"/>
    <w:rsid w:val="00444E92"/>
    <w:rsid w:val="00470EBC"/>
    <w:rsid w:val="00487045"/>
    <w:rsid w:val="00494C4A"/>
    <w:rsid w:val="004A5DAB"/>
    <w:rsid w:val="004B4354"/>
    <w:rsid w:val="004D62A1"/>
    <w:rsid w:val="004F2F72"/>
    <w:rsid w:val="004F59B0"/>
    <w:rsid w:val="005051D5"/>
    <w:rsid w:val="00512B9C"/>
    <w:rsid w:val="00520585"/>
    <w:rsid w:val="005503B8"/>
    <w:rsid w:val="0056383A"/>
    <w:rsid w:val="00573FC3"/>
    <w:rsid w:val="0057673F"/>
    <w:rsid w:val="00580F1E"/>
    <w:rsid w:val="0058405A"/>
    <w:rsid w:val="00590AEC"/>
    <w:rsid w:val="005A4DAC"/>
    <w:rsid w:val="005A6D71"/>
    <w:rsid w:val="005B6388"/>
    <w:rsid w:val="005D32DC"/>
    <w:rsid w:val="0060034B"/>
    <w:rsid w:val="006008F4"/>
    <w:rsid w:val="00626491"/>
    <w:rsid w:val="006426E1"/>
    <w:rsid w:val="00647415"/>
    <w:rsid w:val="00655612"/>
    <w:rsid w:val="00685A75"/>
    <w:rsid w:val="006A42D3"/>
    <w:rsid w:val="006B4189"/>
    <w:rsid w:val="006B459A"/>
    <w:rsid w:val="006C11BA"/>
    <w:rsid w:val="006C1D05"/>
    <w:rsid w:val="006C4531"/>
    <w:rsid w:val="006D4572"/>
    <w:rsid w:val="006D6DDB"/>
    <w:rsid w:val="006E0A4C"/>
    <w:rsid w:val="006F014B"/>
    <w:rsid w:val="00707CFB"/>
    <w:rsid w:val="007207B2"/>
    <w:rsid w:val="00734767"/>
    <w:rsid w:val="0073680A"/>
    <w:rsid w:val="00737374"/>
    <w:rsid w:val="007410D4"/>
    <w:rsid w:val="00744D08"/>
    <w:rsid w:val="0078475F"/>
    <w:rsid w:val="00794CD1"/>
    <w:rsid w:val="007A3545"/>
    <w:rsid w:val="007B311F"/>
    <w:rsid w:val="007D33A0"/>
    <w:rsid w:val="007E5824"/>
    <w:rsid w:val="007F1970"/>
    <w:rsid w:val="007F7C42"/>
    <w:rsid w:val="008007DB"/>
    <w:rsid w:val="00807BDA"/>
    <w:rsid w:val="00821FAB"/>
    <w:rsid w:val="00860E10"/>
    <w:rsid w:val="008A6698"/>
    <w:rsid w:val="008A7B4A"/>
    <w:rsid w:val="008B63B3"/>
    <w:rsid w:val="008C6C0B"/>
    <w:rsid w:val="008E3C80"/>
    <w:rsid w:val="0091143D"/>
    <w:rsid w:val="00914229"/>
    <w:rsid w:val="009204A6"/>
    <w:rsid w:val="0092476B"/>
    <w:rsid w:val="00924787"/>
    <w:rsid w:val="0095517B"/>
    <w:rsid w:val="00982D5D"/>
    <w:rsid w:val="009852DC"/>
    <w:rsid w:val="009B16A1"/>
    <w:rsid w:val="009C0957"/>
    <w:rsid w:val="009C4AFE"/>
    <w:rsid w:val="009C52ED"/>
    <w:rsid w:val="009E7E31"/>
    <w:rsid w:val="009F56AD"/>
    <w:rsid w:val="009F693E"/>
    <w:rsid w:val="00A00EA2"/>
    <w:rsid w:val="00A30B06"/>
    <w:rsid w:val="00A34E71"/>
    <w:rsid w:val="00A4712F"/>
    <w:rsid w:val="00A64607"/>
    <w:rsid w:val="00A73B3A"/>
    <w:rsid w:val="00A76012"/>
    <w:rsid w:val="00A77711"/>
    <w:rsid w:val="00A821DB"/>
    <w:rsid w:val="00AB27B4"/>
    <w:rsid w:val="00AB7031"/>
    <w:rsid w:val="00AD5A95"/>
    <w:rsid w:val="00AF2300"/>
    <w:rsid w:val="00AF63BC"/>
    <w:rsid w:val="00B01575"/>
    <w:rsid w:val="00B0724D"/>
    <w:rsid w:val="00B35CEE"/>
    <w:rsid w:val="00B41E90"/>
    <w:rsid w:val="00B65D70"/>
    <w:rsid w:val="00B70C34"/>
    <w:rsid w:val="00B76200"/>
    <w:rsid w:val="00B7797A"/>
    <w:rsid w:val="00B91981"/>
    <w:rsid w:val="00BB382E"/>
    <w:rsid w:val="00BD6053"/>
    <w:rsid w:val="00C01806"/>
    <w:rsid w:val="00C05FB2"/>
    <w:rsid w:val="00C15D4F"/>
    <w:rsid w:val="00C65B1F"/>
    <w:rsid w:val="00C7757D"/>
    <w:rsid w:val="00C81B0C"/>
    <w:rsid w:val="00C86978"/>
    <w:rsid w:val="00C94CDE"/>
    <w:rsid w:val="00CA4C30"/>
    <w:rsid w:val="00CB3C07"/>
    <w:rsid w:val="00CC3521"/>
    <w:rsid w:val="00D03A75"/>
    <w:rsid w:val="00D363E9"/>
    <w:rsid w:val="00D37552"/>
    <w:rsid w:val="00D66A81"/>
    <w:rsid w:val="00D853A6"/>
    <w:rsid w:val="00DC0DDE"/>
    <w:rsid w:val="00DF12D4"/>
    <w:rsid w:val="00DF22CA"/>
    <w:rsid w:val="00DF4734"/>
    <w:rsid w:val="00E072CB"/>
    <w:rsid w:val="00E13D5A"/>
    <w:rsid w:val="00E25404"/>
    <w:rsid w:val="00E27E51"/>
    <w:rsid w:val="00E37FF6"/>
    <w:rsid w:val="00E74FA9"/>
    <w:rsid w:val="00E75615"/>
    <w:rsid w:val="00E77297"/>
    <w:rsid w:val="00E838AF"/>
    <w:rsid w:val="00F025EA"/>
    <w:rsid w:val="00F07D7A"/>
    <w:rsid w:val="00F1683B"/>
    <w:rsid w:val="00F16D4D"/>
    <w:rsid w:val="00F42401"/>
    <w:rsid w:val="00FD09A9"/>
    <w:rsid w:val="00FD56F2"/>
    <w:rsid w:val="00FE1230"/>
    <w:rsid w:val="00FE7FE7"/>
    <w:rsid w:val="00FF5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DDB"/>
    <w:pPr>
      <w:ind w:left="720"/>
      <w:contextualSpacing/>
    </w:pPr>
  </w:style>
  <w:style w:type="character" w:styleId="Hyperlink">
    <w:name w:val="Hyperlink"/>
    <w:basedOn w:val="DefaultParagraphFont"/>
    <w:uiPriority w:val="99"/>
    <w:unhideWhenUsed/>
    <w:rsid w:val="00924787"/>
    <w:rPr>
      <w:color w:val="0563C1" w:themeColor="hyperlink"/>
      <w:u w:val="single"/>
    </w:rPr>
  </w:style>
  <w:style w:type="paragraph" w:styleId="Header">
    <w:name w:val="header"/>
    <w:basedOn w:val="Normal"/>
    <w:link w:val="HeaderChar"/>
    <w:uiPriority w:val="99"/>
    <w:unhideWhenUsed/>
    <w:rsid w:val="001B4277"/>
    <w:pPr>
      <w:tabs>
        <w:tab w:val="center" w:pos="4513"/>
        <w:tab w:val="right" w:pos="9026"/>
      </w:tabs>
    </w:pPr>
  </w:style>
  <w:style w:type="character" w:customStyle="1" w:styleId="HeaderChar">
    <w:name w:val="Header Char"/>
    <w:basedOn w:val="DefaultParagraphFont"/>
    <w:link w:val="Header"/>
    <w:uiPriority w:val="99"/>
    <w:rsid w:val="001B4277"/>
  </w:style>
  <w:style w:type="paragraph" w:styleId="Footer">
    <w:name w:val="footer"/>
    <w:basedOn w:val="Normal"/>
    <w:link w:val="FooterChar"/>
    <w:uiPriority w:val="99"/>
    <w:unhideWhenUsed/>
    <w:rsid w:val="001B4277"/>
    <w:pPr>
      <w:tabs>
        <w:tab w:val="center" w:pos="4513"/>
        <w:tab w:val="right" w:pos="9026"/>
      </w:tabs>
    </w:pPr>
  </w:style>
  <w:style w:type="character" w:customStyle="1" w:styleId="FooterChar">
    <w:name w:val="Footer Char"/>
    <w:basedOn w:val="DefaultParagraphFont"/>
    <w:link w:val="Footer"/>
    <w:uiPriority w:val="99"/>
    <w:rsid w:val="001B4277"/>
  </w:style>
  <w:style w:type="paragraph" w:styleId="BalloonText">
    <w:name w:val="Balloon Text"/>
    <w:basedOn w:val="Normal"/>
    <w:link w:val="BalloonTextChar"/>
    <w:uiPriority w:val="99"/>
    <w:semiHidden/>
    <w:unhideWhenUsed/>
    <w:rsid w:val="00B7797A"/>
    <w:rPr>
      <w:rFonts w:ascii="Tahoma" w:hAnsi="Tahoma" w:cs="Tahoma"/>
      <w:sz w:val="16"/>
      <w:szCs w:val="16"/>
    </w:rPr>
  </w:style>
  <w:style w:type="character" w:customStyle="1" w:styleId="BalloonTextChar">
    <w:name w:val="Balloon Text Char"/>
    <w:basedOn w:val="DefaultParagraphFont"/>
    <w:link w:val="BalloonText"/>
    <w:uiPriority w:val="99"/>
    <w:semiHidden/>
    <w:rsid w:val="00B779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DDB"/>
    <w:pPr>
      <w:ind w:left="720"/>
      <w:contextualSpacing/>
    </w:pPr>
  </w:style>
  <w:style w:type="character" w:styleId="Hyperlink">
    <w:name w:val="Hyperlink"/>
    <w:basedOn w:val="DefaultParagraphFont"/>
    <w:uiPriority w:val="99"/>
    <w:unhideWhenUsed/>
    <w:rsid w:val="00924787"/>
    <w:rPr>
      <w:color w:val="0563C1" w:themeColor="hyperlink"/>
      <w:u w:val="single"/>
    </w:rPr>
  </w:style>
  <w:style w:type="paragraph" w:styleId="Header">
    <w:name w:val="header"/>
    <w:basedOn w:val="Normal"/>
    <w:link w:val="HeaderChar"/>
    <w:uiPriority w:val="99"/>
    <w:unhideWhenUsed/>
    <w:rsid w:val="001B4277"/>
    <w:pPr>
      <w:tabs>
        <w:tab w:val="center" w:pos="4513"/>
        <w:tab w:val="right" w:pos="9026"/>
      </w:tabs>
    </w:pPr>
  </w:style>
  <w:style w:type="character" w:customStyle="1" w:styleId="HeaderChar">
    <w:name w:val="Header Char"/>
    <w:basedOn w:val="DefaultParagraphFont"/>
    <w:link w:val="Header"/>
    <w:uiPriority w:val="99"/>
    <w:rsid w:val="001B4277"/>
  </w:style>
  <w:style w:type="paragraph" w:styleId="Footer">
    <w:name w:val="footer"/>
    <w:basedOn w:val="Normal"/>
    <w:link w:val="FooterChar"/>
    <w:uiPriority w:val="99"/>
    <w:unhideWhenUsed/>
    <w:rsid w:val="001B4277"/>
    <w:pPr>
      <w:tabs>
        <w:tab w:val="center" w:pos="4513"/>
        <w:tab w:val="right" w:pos="9026"/>
      </w:tabs>
    </w:pPr>
  </w:style>
  <w:style w:type="character" w:customStyle="1" w:styleId="FooterChar">
    <w:name w:val="Footer Char"/>
    <w:basedOn w:val="DefaultParagraphFont"/>
    <w:link w:val="Footer"/>
    <w:uiPriority w:val="99"/>
    <w:rsid w:val="001B4277"/>
  </w:style>
  <w:style w:type="paragraph" w:styleId="BalloonText">
    <w:name w:val="Balloon Text"/>
    <w:basedOn w:val="Normal"/>
    <w:link w:val="BalloonTextChar"/>
    <w:uiPriority w:val="99"/>
    <w:semiHidden/>
    <w:unhideWhenUsed/>
    <w:rsid w:val="00B7797A"/>
    <w:rPr>
      <w:rFonts w:ascii="Tahoma" w:hAnsi="Tahoma" w:cs="Tahoma"/>
      <w:sz w:val="16"/>
      <w:szCs w:val="16"/>
    </w:rPr>
  </w:style>
  <w:style w:type="character" w:customStyle="1" w:styleId="BalloonTextChar">
    <w:name w:val="Balloon Text Char"/>
    <w:basedOn w:val="DefaultParagraphFont"/>
    <w:link w:val="BalloonText"/>
    <w:uiPriority w:val="99"/>
    <w:semiHidden/>
    <w:rsid w:val="00B779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2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ris/en/index.cfm/search/?trisaction=search.detail&amp;year=2015&amp;num=465&amp;mLang=en&amp;CFID=680885&amp;CFTOKEN=5905efc10ce935bf-2662FFF6-A64E-3E41-AF720F61216997CA" TargetMode="External"/><Relationship Id="rId13" Type="http://schemas.openxmlformats.org/officeDocument/2006/relationships/hyperlink" Target="http://ec.europa.eu/growth/tools-databases/tris/en/search/?trisaction=search.detail&amp;year=2012&amp;num=629"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c.europa.eu/growth/tools-databases/tris/en/search/?trisaction=search.detail&amp;year=2014&amp;num=647"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c.europa.eu/growth/tools-databases/tris/en/index.cfm/search/?trisaction=search.detail&amp;year=2015&amp;num=465&amp;mLang=en&amp;CFID=680885&amp;CFTOKEN=5905efc10ce935bf-2662FFF6-A64E-3E41-AF720F61216997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growth/tools-databases/tris/en/search/?trisaction=search.detail&amp;year=2015&amp;num=950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azzettaufficiale.it/atto/serie_generale/caricaDettaglioAtto/originario?atto.dataPubblicazioneGazzetta=2017-01-19&amp;atto.codiceRedazionale=17A00291&amp;elenco30giorni=fals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6903</Characters>
  <Application>Microsoft Office Word</Application>
  <DocSecurity>0</DocSecurity>
  <Lines>543</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Jacobs</dc:creator>
  <cp:keywords/>
  <dc:description/>
  <cp:lastModifiedBy>Windows User</cp:lastModifiedBy>
  <cp:revision>2</cp:revision>
  <dcterms:created xsi:type="dcterms:W3CDTF">2017-04-25T14:02:00Z</dcterms:created>
  <dcterms:modified xsi:type="dcterms:W3CDTF">2017-04-25T14:02:00Z</dcterms:modified>
</cp:coreProperties>
</file>