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745" w:rsidRPr="003D559F" w:rsidRDefault="003D559F" w:rsidP="003D559F">
      <w:pPr>
        <w:jc w:val="right"/>
        <w:rPr>
          <w:rFonts w:ascii="Tahoma" w:hAnsi="Tahoma" w:cs="Tahoma"/>
          <w:color w:val="0D1957"/>
          <w:sz w:val="36"/>
          <w:szCs w:val="36"/>
        </w:rPr>
      </w:pPr>
      <w:r w:rsidRPr="003D559F">
        <w:rPr>
          <w:rFonts w:ascii="Tahoma" w:hAnsi="Tahoma" w:cs="Tahoma"/>
          <w:color w:val="0D1957"/>
          <w:sz w:val="36"/>
          <w:szCs w:val="36"/>
        </w:rPr>
        <w:t>FOR INFO</w:t>
      </w:r>
    </w:p>
    <w:p w:rsidR="00E7365A" w:rsidRPr="003D559F" w:rsidRDefault="00FE5406" w:rsidP="00E7365A">
      <w:pPr>
        <w:tabs>
          <w:tab w:val="left" w:pos="7088"/>
        </w:tabs>
        <w:jc w:val="right"/>
        <w:rPr>
          <w:rFonts w:cs="Arial"/>
          <w:szCs w:val="22"/>
        </w:rPr>
      </w:pPr>
      <w:r>
        <w:rPr>
          <w:rFonts w:cs="Arial"/>
          <w:szCs w:val="22"/>
        </w:rPr>
        <w:t>17</w:t>
      </w:r>
      <w:r w:rsidR="00DE65D3">
        <w:rPr>
          <w:rFonts w:cs="Arial"/>
          <w:szCs w:val="22"/>
        </w:rPr>
        <w:t xml:space="preserve"> </w:t>
      </w:r>
      <w:r w:rsidR="00A36647">
        <w:rPr>
          <w:rFonts w:cs="Arial"/>
          <w:szCs w:val="22"/>
        </w:rPr>
        <w:t>March</w:t>
      </w:r>
      <w:r w:rsidR="00886BB7">
        <w:rPr>
          <w:rFonts w:cs="Arial"/>
          <w:szCs w:val="22"/>
        </w:rPr>
        <w:t xml:space="preserve"> 2017</w:t>
      </w:r>
    </w:p>
    <w:p w:rsidR="00D63878" w:rsidRDefault="00D63878" w:rsidP="000364A5">
      <w:pPr>
        <w:tabs>
          <w:tab w:val="left" w:pos="7088"/>
        </w:tabs>
        <w:jc w:val="both"/>
        <w:rPr>
          <w:rFonts w:cs="Arial"/>
          <w:szCs w:val="22"/>
        </w:rPr>
      </w:pPr>
    </w:p>
    <w:p w:rsidR="003D559F" w:rsidRPr="003D559F" w:rsidRDefault="005941C4" w:rsidP="000364A5">
      <w:pPr>
        <w:tabs>
          <w:tab w:val="left" w:pos="7088"/>
        </w:tabs>
        <w:jc w:val="both"/>
        <w:rPr>
          <w:rFonts w:cs="Arial"/>
          <w:szCs w:val="22"/>
        </w:rPr>
      </w:pPr>
      <w:r>
        <w:rPr>
          <w:rFonts w:ascii="Tahoma" w:hAnsi="Tahoma" w:cs="Tahoma"/>
          <w:color w:val="0D1957"/>
          <w:sz w:val="36"/>
          <w:szCs w:val="36"/>
        </w:rPr>
        <w:t>Informal report by the Secretariat of</w:t>
      </w:r>
      <w:r w:rsidR="001E2374">
        <w:rPr>
          <w:rFonts w:ascii="Tahoma" w:hAnsi="Tahoma" w:cs="Tahoma"/>
          <w:color w:val="0D1957"/>
          <w:sz w:val="36"/>
          <w:szCs w:val="36"/>
        </w:rPr>
        <w:t xml:space="preserve"> the</w:t>
      </w:r>
      <w:r>
        <w:rPr>
          <w:rFonts w:ascii="Tahoma" w:hAnsi="Tahoma" w:cs="Tahoma"/>
          <w:color w:val="0D1957"/>
          <w:sz w:val="36"/>
          <w:szCs w:val="36"/>
        </w:rPr>
        <w:t xml:space="preserve"> EU Platform</w:t>
      </w:r>
      <w:r w:rsidR="001E2374">
        <w:rPr>
          <w:rFonts w:ascii="Tahoma" w:hAnsi="Tahoma" w:cs="Tahoma"/>
          <w:color w:val="0D1957"/>
          <w:sz w:val="36"/>
          <w:szCs w:val="36"/>
        </w:rPr>
        <w:t xml:space="preserve"> meeting of </w:t>
      </w:r>
      <w:r w:rsidR="00886BB7">
        <w:rPr>
          <w:rFonts w:ascii="Tahoma" w:hAnsi="Tahoma" w:cs="Tahoma"/>
          <w:color w:val="0D1957"/>
          <w:sz w:val="36"/>
          <w:szCs w:val="36"/>
        </w:rPr>
        <w:t>9</w:t>
      </w:r>
      <w:r w:rsidR="001E2374">
        <w:rPr>
          <w:rFonts w:ascii="Tahoma" w:hAnsi="Tahoma" w:cs="Tahoma"/>
          <w:color w:val="0D1957"/>
          <w:sz w:val="36"/>
          <w:szCs w:val="36"/>
        </w:rPr>
        <w:t xml:space="preserve"> </w:t>
      </w:r>
      <w:r w:rsidR="00886BB7">
        <w:rPr>
          <w:rFonts w:ascii="Tahoma" w:hAnsi="Tahoma" w:cs="Tahoma"/>
          <w:color w:val="0D1957"/>
          <w:sz w:val="36"/>
          <w:szCs w:val="36"/>
        </w:rPr>
        <w:t>March 2017</w:t>
      </w:r>
      <w:r>
        <w:rPr>
          <w:rFonts w:ascii="Tahoma" w:hAnsi="Tahoma" w:cs="Tahoma"/>
          <w:color w:val="0D1957"/>
          <w:sz w:val="36"/>
          <w:szCs w:val="36"/>
        </w:rPr>
        <w:t xml:space="preserve"> </w:t>
      </w:r>
    </w:p>
    <w:p w:rsidR="00EB50E9" w:rsidRDefault="00EB50E9" w:rsidP="00EB50E9">
      <w:pPr>
        <w:tabs>
          <w:tab w:val="left" w:pos="7088"/>
        </w:tabs>
        <w:rPr>
          <w:rFonts w:cs="Arial"/>
          <w:szCs w:val="22"/>
        </w:rPr>
      </w:pPr>
    </w:p>
    <w:p w:rsidR="00EB50E9" w:rsidRPr="003D559F" w:rsidRDefault="00EB50E9" w:rsidP="00EB50E9">
      <w:pPr>
        <w:tabs>
          <w:tab w:val="left" w:pos="7088"/>
        </w:tabs>
        <w:rPr>
          <w:rFonts w:cs="Arial"/>
          <w:szCs w:val="22"/>
        </w:rPr>
      </w:pPr>
      <w:r w:rsidRPr="003D559F">
        <w:rPr>
          <w:rFonts w:cs="Arial"/>
          <w:szCs w:val="22"/>
        </w:rPr>
        <w:t>Dear all,</w:t>
      </w:r>
    </w:p>
    <w:p w:rsidR="00EB50E9" w:rsidRPr="003D559F" w:rsidRDefault="00EB50E9" w:rsidP="00EB50E9">
      <w:pPr>
        <w:tabs>
          <w:tab w:val="left" w:pos="7088"/>
        </w:tabs>
        <w:rPr>
          <w:rFonts w:cs="Arial"/>
          <w:szCs w:val="22"/>
        </w:rPr>
      </w:pPr>
    </w:p>
    <w:p w:rsidR="00EB50E9" w:rsidRDefault="00EB50E9" w:rsidP="00EB50E9">
      <w:pPr>
        <w:tabs>
          <w:tab w:val="left" w:pos="7088"/>
        </w:tabs>
        <w:jc w:val="both"/>
        <w:rPr>
          <w:rFonts w:cs="Arial"/>
          <w:szCs w:val="22"/>
        </w:rPr>
      </w:pPr>
      <w:r>
        <w:rPr>
          <w:rFonts w:cs="Arial"/>
          <w:szCs w:val="22"/>
        </w:rPr>
        <w:t xml:space="preserve">On </w:t>
      </w:r>
      <w:r w:rsidR="00FF0C3C">
        <w:rPr>
          <w:rFonts w:cs="Arial"/>
          <w:szCs w:val="22"/>
        </w:rPr>
        <w:t>8</w:t>
      </w:r>
      <w:r>
        <w:rPr>
          <w:rFonts w:cs="Arial"/>
          <w:szCs w:val="22"/>
        </w:rPr>
        <w:t xml:space="preserve"> and </w:t>
      </w:r>
      <w:r w:rsidR="00FF0C3C">
        <w:rPr>
          <w:rFonts w:cs="Arial"/>
          <w:szCs w:val="22"/>
        </w:rPr>
        <w:t>9</w:t>
      </w:r>
      <w:r>
        <w:rPr>
          <w:rFonts w:cs="Arial"/>
          <w:szCs w:val="22"/>
        </w:rPr>
        <w:t xml:space="preserve"> </w:t>
      </w:r>
      <w:r w:rsidR="00FF0C3C">
        <w:rPr>
          <w:rFonts w:cs="Arial"/>
          <w:szCs w:val="22"/>
        </w:rPr>
        <w:t>March</w:t>
      </w:r>
      <w:r w:rsidR="00616F37">
        <w:rPr>
          <w:rFonts w:cs="Arial"/>
          <w:szCs w:val="22"/>
        </w:rPr>
        <w:t xml:space="preserve"> 2017</w:t>
      </w:r>
      <w:r>
        <w:rPr>
          <w:rFonts w:cs="Arial"/>
          <w:szCs w:val="22"/>
        </w:rPr>
        <w:t xml:space="preserve">, meetings of the </w:t>
      </w:r>
      <w:r w:rsidRPr="003D559F">
        <w:rPr>
          <w:rFonts w:cs="Arial"/>
          <w:szCs w:val="22"/>
        </w:rPr>
        <w:t xml:space="preserve">High Level Group (HLG) on Nutrition and Physical Activity and the EU Platform for Action on Diet, Physical Activity and Health (DPAH) took place in </w:t>
      </w:r>
      <w:r>
        <w:rPr>
          <w:rFonts w:cs="Arial"/>
          <w:szCs w:val="22"/>
        </w:rPr>
        <w:t>Brussels</w:t>
      </w:r>
      <w:r w:rsidRPr="003D559F">
        <w:rPr>
          <w:rFonts w:cs="Arial"/>
          <w:szCs w:val="22"/>
        </w:rPr>
        <w:t>.</w:t>
      </w:r>
    </w:p>
    <w:p w:rsidR="00EB50E9" w:rsidRDefault="00EB50E9" w:rsidP="00EB50E9">
      <w:pPr>
        <w:tabs>
          <w:tab w:val="left" w:pos="7088"/>
        </w:tabs>
        <w:jc w:val="both"/>
        <w:rPr>
          <w:rFonts w:cs="Arial"/>
          <w:szCs w:val="22"/>
        </w:rPr>
      </w:pPr>
    </w:p>
    <w:p w:rsidR="00EB50E9" w:rsidRDefault="00EB50E9" w:rsidP="00EB50E9">
      <w:pPr>
        <w:tabs>
          <w:tab w:val="left" w:pos="7088"/>
        </w:tabs>
        <w:jc w:val="both"/>
        <w:rPr>
          <w:rFonts w:cs="Arial"/>
          <w:szCs w:val="22"/>
        </w:rPr>
      </w:pPr>
      <w:r>
        <w:rPr>
          <w:rFonts w:cs="Arial"/>
          <w:szCs w:val="22"/>
        </w:rPr>
        <w:t xml:space="preserve">The </w:t>
      </w:r>
      <w:r>
        <w:rPr>
          <w:rFonts w:cs="Arial"/>
          <w:szCs w:val="22"/>
          <w:u w:val="single"/>
        </w:rPr>
        <w:t xml:space="preserve">agenda </w:t>
      </w:r>
      <w:r w:rsidRPr="00A6022B">
        <w:rPr>
          <w:rFonts w:cs="Arial"/>
          <w:szCs w:val="22"/>
          <w:u w:val="single"/>
        </w:rPr>
        <w:t>and presentations</w:t>
      </w:r>
      <w:r>
        <w:rPr>
          <w:rFonts w:cs="Arial"/>
          <w:szCs w:val="22"/>
        </w:rPr>
        <w:t xml:space="preserve"> are now available on the Commission’s website:</w:t>
      </w:r>
    </w:p>
    <w:p w:rsidR="00EB50E9" w:rsidRDefault="00EB50E9" w:rsidP="00EB50E9">
      <w:pPr>
        <w:tabs>
          <w:tab w:val="left" w:pos="7088"/>
        </w:tabs>
        <w:jc w:val="both"/>
        <w:rPr>
          <w:rFonts w:cs="Arial"/>
          <w:szCs w:val="22"/>
        </w:rPr>
      </w:pPr>
    </w:p>
    <w:p w:rsidR="00EB50E9" w:rsidRDefault="00690B1C" w:rsidP="00EB50E9">
      <w:pPr>
        <w:numPr>
          <w:ilvl w:val="0"/>
          <w:numId w:val="11"/>
        </w:numPr>
        <w:tabs>
          <w:tab w:val="left" w:pos="426"/>
        </w:tabs>
        <w:jc w:val="both"/>
        <w:rPr>
          <w:rFonts w:cs="Arial"/>
          <w:szCs w:val="22"/>
        </w:rPr>
      </w:pPr>
      <w:hyperlink r:id="rId9" w:history="1">
        <w:r w:rsidR="00EB50E9" w:rsidRPr="00886BB7">
          <w:rPr>
            <w:rStyle w:val="Hyperlink"/>
            <w:rFonts w:cs="Arial"/>
            <w:szCs w:val="22"/>
          </w:rPr>
          <w:t>HLG meeting</w:t>
        </w:r>
      </w:hyperlink>
      <w:r w:rsidR="00EB50E9">
        <w:rPr>
          <w:rFonts w:cs="Arial"/>
          <w:szCs w:val="22"/>
        </w:rPr>
        <w:t xml:space="preserve"> (</w:t>
      </w:r>
      <w:r w:rsidR="003741DF">
        <w:rPr>
          <w:rFonts w:cs="Arial"/>
          <w:szCs w:val="22"/>
        </w:rPr>
        <w:t>8 March</w:t>
      </w:r>
      <w:r w:rsidR="00EB50E9">
        <w:rPr>
          <w:rFonts w:cs="Arial"/>
          <w:szCs w:val="22"/>
        </w:rPr>
        <w:t>)</w:t>
      </w:r>
    </w:p>
    <w:p w:rsidR="00EB50E9" w:rsidRDefault="00690B1C" w:rsidP="00EB50E9">
      <w:pPr>
        <w:numPr>
          <w:ilvl w:val="0"/>
          <w:numId w:val="11"/>
        </w:numPr>
        <w:tabs>
          <w:tab w:val="left" w:pos="426"/>
        </w:tabs>
        <w:jc w:val="both"/>
        <w:rPr>
          <w:rFonts w:cs="Arial"/>
          <w:szCs w:val="22"/>
        </w:rPr>
      </w:pPr>
      <w:hyperlink r:id="rId10" w:history="1">
        <w:r w:rsidR="00EB50E9" w:rsidRPr="00886BB7">
          <w:rPr>
            <w:rStyle w:val="Hyperlink"/>
            <w:rFonts w:cs="Arial"/>
            <w:szCs w:val="22"/>
          </w:rPr>
          <w:t>EU Platform meeting</w:t>
        </w:r>
      </w:hyperlink>
      <w:r w:rsidR="00EB50E9" w:rsidRPr="00A6022B">
        <w:rPr>
          <w:rFonts w:cs="Arial"/>
          <w:szCs w:val="22"/>
        </w:rPr>
        <w:t xml:space="preserve"> </w:t>
      </w:r>
      <w:r w:rsidR="00EB50E9">
        <w:rPr>
          <w:rFonts w:cs="Arial"/>
          <w:szCs w:val="22"/>
        </w:rPr>
        <w:t>(</w:t>
      </w:r>
      <w:r w:rsidR="003741DF">
        <w:rPr>
          <w:rFonts w:cs="Arial"/>
          <w:szCs w:val="22"/>
        </w:rPr>
        <w:t>9 March</w:t>
      </w:r>
      <w:r w:rsidR="00EB50E9">
        <w:rPr>
          <w:rFonts w:cs="Arial"/>
          <w:szCs w:val="22"/>
        </w:rPr>
        <w:t>)</w:t>
      </w:r>
    </w:p>
    <w:p w:rsidR="00EB50E9" w:rsidRDefault="00EB50E9" w:rsidP="00EB50E9">
      <w:pPr>
        <w:tabs>
          <w:tab w:val="left" w:pos="7088"/>
        </w:tabs>
        <w:jc w:val="both"/>
        <w:rPr>
          <w:rFonts w:cs="Arial"/>
          <w:szCs w:val="22"/>
        </w:rPr>
      </w:pPr>
    </w:p>
    <w:p w:rsidR="00EB50E9" w:rsidRPr="003741DF" w:rsidRDefault="00012B9D" w:rsidP="00EB50E9">
      <w:pPr>
        <w:tabs>
          <w:tab w:val="left" w:pos="7088"/>
        </w:tabs>
        <w:jc w:val="both"/>
        <w:rPr>
          <w:rFonts w:cs="Arial"/>
          <w:szCs w:val="22"/>
        </w:rPr>
      </w:pPr>
      <w:r w:rsidRPr="003741DF">
        <w:rPr>
          <w:rFonts w:cs="Arial"/>
          <w:szCs w:val="22"/>
        </w:rPr>
        <w:t>Please find below a</w:t>
      </w:r>
      <w:r w:rsidR="00EB50E9" w:rsidRPr="003741DF">
        <w:rPr>
          <w:rFonts w:cs="Arial"/>
          <w:szCs w:val="22"/>
        </w:rPr>
        <w:t xml:space="preserve">n </w:t>
      </w:r>
      <w:r w:rsidR="00EB50E9" w:rsidRPr="00AF648F">
        <w:rPr>
          <w:rFonts w:cs="Arial"/>
          <w:b/>
          <w:szCs w:val="22"/>
          <w:u w:val="single"/>
        </w:rPr>
        <w:t>informal report of the EU Platform meeting</w:t>
      </w:r>
      <w:r w:rsidR="00EB50E9" w:rsidRPr="003741DF">
        <w:rPr>
          <w:rFonts w:cs="Arial"/>
          <w:szCs w:val="22"/>
        </w:rPr>
        <w:t xml:space="preserve"> from FoodDri</w:t>
      </w:r>
      <w:r w:rsidRPr="003741DF">
        <w:rPr>
          <w:rFonts w:cs="Arial"/>
          <w:szCs w:val="22"/>
        </w:rPr>
        <w:t>nkEurope Secretariat</w:t>
      </w:r>
      <w:r w:rsidR="00EB50E9" w:rsidRPr="003741DF">
        <w:rPr>
          <w:rFonts w:cs="Arial"/>
          <w:szCs w:val="22"/>
        </w:rPr>
        <w:t>.</w:t>
      </w:r>
    </w:p>
    <w:p w:rsidR="00EB50E9" w:rsidRDefault="00EB50E9" w:rsidP="00EB50E9">
      <w:pPr>
        <w:tabs>
          <w:tab w:val="left" w:pos="7088"/>
        </w:tabs>
        <w:jc w:val="both"/>
        <w:rPr>
          <w:rFonts w:cs="Arial"/>
          <w:szCs w:val="22"/>
        </w:rPr>
      </w:pPr>
    </w:p>
    <w:p w:rsidR="00EB50E9" w:rsidRPr="003D559F" w:rsidRDefault="00EB50E9" w:rsidP="00EB50E9">
      <w:pPr>
        <w:tabs>
          <w:tab w:val="left" w:pos="7088"/>
        </w:tabs>
        <w:jc w:val="both"/>
        <w:rPr>
          <w:rFonts w:cs="Arial"/>
          <w:szCs w:val="22"/>
        </w:rPr>
      </w:pPr>
      <w:r>
        <w:rPr>
          <w:rFonts w:cs="Arial"/>
          <w:szCs w:val="22"/>
        </w:rPr>
        <w:t>Kind regards,</w:t>
      </w:r>
    </w:p>
    <w:p w:rsidR="00EB50E9" w:rsidRDefault="00EB50E9" w:rsidP="00EB50E9">
      <w:pPr>
        <w:tabs>
          <w:tab w:val="left" w:pos="7088"/>
        </w:tabs>
        <w:jc w:val="both"/>
        <w:rPr>
          <w:rFonts w:cs="Arial"/>
          <w:szCs w:val="22"/>
        </w:rPr>
      </w:pPr>
    </w:p>
    <w:p w:rsidR="00EB50E9" w:rsidRDefault="00EB50E9" w:rsidP="00EB50E9">
      <w:pPr>
        <w:tabs>
          <w:tab w:val="left" w:pos="7088"/>
        </w:tabs>
        <w:jc w:val="both"/>
      </w:pPr>
      <w:r>
        <w:rPr>
          <w:rFonts w:cs="Arial"/>
          <w:szCs w:val="22"/>
        </w:rPr>
        <w:t>The Secretariat</w:t>
      </w:r>
      <w:r w:rsidRPr="00322436">
        <w:rPr>
          <w:highlight w:val="yellow"/>
        </w:rPr>
        <w:t xml:space="preserve"> </w:t>
      </w:r>
    </w:p>
    <w:p w:rsidR="00012B9D" w:rsidRDefault="00012B9D" w:rsidP="00EB50E9">
      <w:pPr>
        <w:tabs>
          <w:tab w:val="left" w:pos="7088"/>
        </w:tabs>
        <w:jc w:val="both"/>
      </w:pPr>
    </w:p>
    <w:p w:rsidR="00012B9D" w:rsidRDefault="00012B9D">
      <w:pPr>
        <w:rPr>
          <w:highlight w:val="yellow"/>
        </w:rPr>
      </w:pPr>
      <w:r>
        <w:rPr>
          <w:highlight w:val="yellow"/>
        </w:rPr>
        <w:br w:type="page"/>
      </w:r>
    </w:p>
    <w:p w:rsidR="003741DF" w:rsidRDefault="003741DF" w:rsidP="003741DF"/>
    <w:p w:rsidR="003741DF" w:rsidRDefault="003741DF" w:rsidP="003741DF"/>
    <w:p w:rsidR="003741DF" w:rsidRDefault="003741DF" w:rsidP="003741DF">
      <w:pPr>
        <w:tabs>
          <w:tab w:val="left" w:pos="7088"/>
        </w:tabs>
        <w:jc w:val="both"/>
        <w:rPr>
          <w:rFonts w:cs="Arial"/>
          <w:b/>
          <w:sz w:val="28"/>
          <w:szCs w:val="22"/>
        </w:rPr>
      </w:pPr>
      <w:r>
        <w:rPr>
          <w:rFonts w:cs="Arial"/>
          <w:b/>
          <w:sz w:val="28"/>
          <w:szCs w:val="22"/>
        </w:rPr>
        <w:t>Informal Secretariat report of the EU Platform meeting of 9 March 2017</w:t>
      </w:r>
    </w:p>
    <w:p w:rsidR="003741DF" w:rsidRDefault="003741DF" w:rsidP="003741DF">
      <w:pPr>
        <w:tabs>
          <w:tab w:val="left" w:pos="7088"/>
        </w:tabs>
        <w:jc w:val="both"/>
        <w:rPr>
          <w:rFonts w:cs="Arial"/>
          <w:b/>
          <w:sz w:val="28"/>
          <w:szCs w:val="22"/>
        </w:rPr>
      </w:pPr>
    </w:p>
    <w:p w:rsidR="003741DF" w:rsidRDefault="003741DF" w:rsidP="003741DF">
      <w:pPr>
        <w:tabs>
          <w:tab w:val="left" w:pos="7088"/>
        </w:tabs>
        <w:jc w:val="both"/>
        <w:rPr>
          <w:rFonts w:cs="Arial"/>
          <w:szCs w:val="22"/>
        </w:rPr>
      </w:pPr>
      <w:r>
        <w:rPr>
          <w:rFonts w:cs="Arial"/>
          <w:szCs w:val="22"/>
        </w:rPr>
        <w:t xml:space="preserve">On 9 March 2017, the EU Platform for Action on Diet, Physical Activity and Health held its regular meeting. The topic of the meeting was “Marketing and advertising”. </w:t>
      </w:r>
    </w:p>
    <w:p w:rsidR="003741DF" w:rsidRDefault="003741DF" w:rsidP="003741DF">
      <w:pPr>
        <w:tabs>
          <w:tab w:val="left" w:pos="7088"/>
        </w:tabs>
        <w:jc w:val="both"/>
        <w:rPr>
          <w:rFonts w:cs="Arial"/>
          <w:szCs w:val="22"/>
        </w:rPr>
      </w:pPr>
    </w:p>
    <w:p w:rsidR="003741DF" w:rsidRDefault="003741DF" w:rsidP="003741DF">
      <w:pPr>
        <w:tabs>
          <w:tab w:val="left" w:pos="7088"/>
        </w:tabs>
        <w:jc w:val="both"/>
        <w:rPr>
          <w:rFonts w:cs="Arial"/>
          <w:szCs w:val="22"/>
          <w:u w:val="single"/>
        </w:rPr>
      </w:pPr>
      <w:r>
        <w:rPr>
          <w:rFonts w:cs="Arial"/>
          <w:szCs w:val="22"/>
          <w:u w:val="single"/>
        </w:rPr>
        <w:t xml:space="preserve">Participants: </w:t>
      </w:r>
    </w:p>
    <w:p w:rsidR="003741DF" w:rsidRPr="00772C2A" w:rsidRDefault="003741DF" w:rsidP="003741DF">
      <w:pPr>
        <w:pStyle w:val="ListParagraph"/>
        <w:numPr>
          <w:ilvl w:val="0"/>
          <w:numId w:val="16"/>
        </w:numPr>
        <w:tabs>
          <w:tab w:val="left" w:pos="7088"/>
        </w:tabs>
        <w:jc w:val="both"/>
        <w:rPr>
          <w:rFonts w:cs="Arial"/>
          <w:szCs w:val="22"/>
        </w:rPr>
      </w:pPr>
      <w:r>
        <w:rPr>
          <w:rFonts w:cs="Arial"/>
          <w:szCs w:val="22"/>
          <w:u w:val="single"/>
        </w:rPr>
        <w:t>European Commission:</w:t>
      </w:r>
      <w:r>
        <w:rPr>
          <w:rFonts w:cs="Arial"/>
          <w:szCs w:val="22"/>
        </w:rPr>
        <w:t xml:space="preserve"> Artur Furtado, Wojciech Kalamarz, Maria-Mihaela Armanu, Stefan Craenen, Stephanie Bodenbach, </w:t>
      </w:r>
      <w:r w:rsidR="00284229">
        <w:rPr>
          <w:iCs/>
          <w:szCs w:val="22"/>
        </w:rPr>
        <w:t xml:space="preserve">Liam Durack, </w:t>
      </w:r>
      <w:r w:rsidR="00CD1909">
        <w:rPr>
          <w:iCs/>
          <w:szCs w:val="22"/>
        </w:rPr>
        <w:t>Alexandra Nikola</w:t>
      </w:r>
      <w:r w:rsidR="00AF648F">
        <w:rPr>
          <w:iCs/>
          <w:szCs w:val="22"/>
        </w:rPr>
        <w:t>k</w:t>
      </w:r>
      <w:r w:rsidR="00CD1909">
        <w:rPr>
          <w:iCs/>
          <w:szCs w:val="22"/>
        </w:rPr>
        <w:t>opoulou, Sabine Pels</w:t>
      </w:r>
      <w:r w:rsidR="00AF648F">
        <w:rPr>
          <w:iCs/>
          <w:szCs w:val="22"/>
        </w:rPr>
        <w:t>s</w:t>
      </w:r>
      <w:r w:rsidR="00CD1909">
        <w:rPr>
          <w:iCs/>
          <w:szCs w:val="22"/>
        </w:rPr>
        <w:t>er</w:t>
      </w:r>
      <w:r w:rsidR="00AF648F">
        <w:rPr>
          <w:iCs/>
          <w:szCs w:val="22"/>
        </w:rPr>
        <w:t xml:space="preserve">, Francesco Carlucci, </w:t>
      </w:r>
      <w:r w:rsidR="00AF648F">
        <w:rPr>
          <w:rFonts w:cs="Arial"/>
          <w:szCs w:val="22"/>
        </w:rPr>
        <w:t>Jan</w:t>
      </w:r>
      <w:r w:rsidR="00AF648F">
        <w:rPr>
          <w:bCs/>
          <w:szCs w:val="22"/>
        </w:rPr>
        <w:t xml:space="preserve"> </w:t>
      </w:r>
      <w:r w:rsidR="00AF648F">
        <w:rPr>
          <w:iCs/>
          <w:szCs w:val="22"/>
        </w:rPr>
        <w:t>Wollgast (JRC)</w:t>
      </w:r>
    </w:p>
    <w:p w:rsidR="00772C2A" w:rsidRDefault="00772C2A" w:rsidP="003741DF">
      <w:pPr>
        <w:pStyle w:val="ListParagraph"/>
        <w:numPr>
          <w:ilvl w:val="0"/>
          <w:numId w:val="16"/>
        </w:numPr>
        <w:tabs>
          <w:tab w:val="left" w:pos="7088"/>
        </w:tabs>
        <w:jc w:val="both"/>
        <w:rPr>
          <w:rFonts w:cs="Arial"/>
          <w:szCs w:val="22"/>
        </w:rPr>
      </w:pPr>
      <w:r>
        <w:rPr>
          <w:rFonts w:cs="Arial"/>
          <w:szCs w:val="22"/>
          <w:u w:val="single"/>
        </w:rPr>
        <w:t>Member States:</w:t>
      </w:r>
      <w:r w:rsidRPr="00AF648F">
        <w:rPr>
          <w:rFonts w:cs="Arial"/>
          <w:szCs w:val="22"/>
        </w:rPr>
        <w:t xml:space="preserve"> </w:t>
      </w:r>
      <w:r w:rsidR="00AF648F">
        <w:rPr>
          <w:rFonts w:cs="Arial"/>
          <w:szCs w:val="22"/>
        </w:rPr>
        <w:t xml:space="preserve">Romania, France, Lithuania </w:t>
      </w:r>
    </w:p>
    <w:p w:rsidR="003741DF" w:rsidRDefault="003741DF" w:rsidP="003741DF">
      <w:pPr>
        <w:pStyle w:val="ListParagraph"/>
        <w:numPr>
          <w:ilvl w:val="0"/>
          <w:numId w:val="16"/>
        </w:numPr>
        <w:jc w:val="both"/>
      </w:pPr>
      <w:r>
        <w:rPr>
          <w:u w:val="single"/>
        </w:rPr>
        <w:t>NGOs</w:t>
      </w:r>
      <w:r>
        <w:t>:</w:t>
      </w:r>
      <w:r w:rsidR="00AF648F">
        <w:t xml:space="preserve"> </w:t>
      </w:r>
      <w:r>
        <w:t xml:space="preserve">EuropeActive, European Cyclists’ Federation (ECF), European Spas Association (ESPA), </w:t>
      </w:r>
      <w:r w:rsidR="00555D72">
        <w:t>E</w:t>
      </w:r>
      <w:r>
        <w:t>uropean Hearth Network (EHN), European Public Health Alliance (EPHA), World Obesity Federation (WOF), EuroCoop, European Consumers Organisation (BEUC), International Baby Food</w:t>
      </w:r>
      <w:r w:rsidR="00AF648F">
        <w:t xml:space="preserve"> Action Network (IBFAN), EUFIC</w:t>
      </w:r>
    </w:p>
    <w:p w:rsidR="003741DF" w:rsidRDefault="003741DF" w:rsidP="003741DF">
      <w:pPr>
        <w:pStyle w:val="ListParagraph"/>
        <w:numPr>
          <w:ilvl w:val="0"/>
          <w:numId w:val="16"/>
        </w:numPr>
        <w:jc w:val="both"/>
      </w:pPr>
      <w:r>
        <w:rPr>
          <w:u w:val="single"/>
        </w:rPr>
        <w:t>Industry</w:t>
      </w:r>
      <w:r>
        <w:t>:</w:t>
      </w:r>
      <w:r w:rsidR="00AF648F">
        <w:t xml:space="preserve"> </w:t>
      </w:r>
      <w:r>
        <w:t>COPA-COGECA, FoodDrinkEurope,</w:t>
      </w:r>
      <w:r w:rsidR="00886BB7">
        <w:t xml:space="preserve"> FoodServiceEurope,</w:t>
      </w:r>
      <w:r w:rsidR="00AF648F">
        <w:t xml:space="preserve"> Freshfel, ServingEurope, WFA</w:t>
      </w:r>
    </w:p>
    <w:p w:rsidR="00886BB7" w:rsidRPr="00886BB7" w:rsidRDefault="00AF648F" w:rsidP="003741DF">
      <w:pPr>
        <w:pStyle w:val="ListParagraph"/>
        <w:numPr>
          <w:ilvl w:val="0"/>
          <w:numId w:val="16"/>
        </w:numPr>
        <w:jc w:val="both"/>
      </w:pPr>
      <w:r w:rsidRPr="00AF648F">
        <w:rPr>
          <w:u w:val="single"/>
        </w:rPr>
        <w:t>Academia:</w:t>
      </w:r>
      <w:r>
        <w:t xml:space="preserve"> </w:t>
      </w:r>
      <w:r w:rsidR="00886BB7" w:rsidRPr="00886BB7">
        <w:t>University of Ghent</w:t>
      </w:r>
    </w:p>
    <w:p w:rsidR="003741DF" w:rsidRPr="00AF648F" w:rsidRDefault="003741DF" w:rsidP="003741DF">
      <w:pPr>
        <w:widowControl w:val="0"/>
        <w:autoSpaceDE w:val="0"/>
        <w:autoSpaceDN w:val="0"/>
        <w:adjustRightInd w:val="0"/>
        <w:spacing w:line="320" w:lineRule="atLeast"/>
        <w:rPr>
          <w:rFonts w:ascii="Helvetica Neue" w:hAnsi="Helvetica Neue" w:cs="Helvetica Neue"/>
          <w:sz w:val="18"/>
        </w:rPr>
      </w:pPr>
    </w:p>
    <w:p w:rsidR="00772C2A" w:rsidRDefault="00772C2A" w:rsidP="00772C2A">
      <w:pPr>
        <w:pStyle w:val="ListParagraph"/>
        <w:numPr>
          <w:ilvl w:val="0"/>
          <w:numId w:val="17"/>
        </w:numPr>
        <w:tabs>
          <w:tab w:val="left" w:pos="7088"/>
        </w:tabs>
        <w:jc w:val="both"/>
        <w:rPr>
          <w:rFonts w:cs="Arial"/>
          <w:b/>
          <w:szCs w:val="22"/>
          <w:u w:val="single"/>
        </w:rPr>
      </w:pPr>
      <w:r>
        <w:rPr>
          <w:rFonts w:cs="Arial"/>
          <w:b/>
          <w:szCs w:val="22"/>
          <w:u w:val="single"/>
        </w:rPr>
        <w:t>Introduction by the Commission</w:t>
      </w:r>
    </w:p>
    <w:p w:rsidR="00772C2A" w:rsidRDefault="00772C2A" w:rsidP="00772C2A">
      <w:pPr>
        <w:tabs>
          <w:tab w:val="left" w:pos="7088"/>
        </w:tabs>
        <w:jc w:val="both"/>
        <w:rPr>
          <w:rFonts w:cs="Arial"/>
          <w:szCs w:val="22"/>
        </w:rPr>
      </w:pPr>
    </w:p>
    <w:p w:rsidR="00772C2A" w:rsidRDefault="00AF648F" w:rsidP="00772C2A">
      <w:pPr>
        <w:tabs>
          <w:tab w:val="left" w:pos="7088"/>
        </w:tabs>
        <w:jc w:val="both"/>
        <w:rPr>
          <w:rFonts w:cs="Arial"/>
          <w:szCs w:val="22"/>
        </w:rPr>
      </w:pPr>
      <w:r>
        <w:rPr>
          <w:rFonts w:cs="Arial"/>
          <w:szCs w:val="22"/>
        </w:rPr>
        <w:t>The new Chair of the Platform, Wojciech Kalamarz (DG SANTE),</w:t>
      </w:r>
      <w:r w:rsidR="00772C2A">
        <w:rPr>
          <w:rFonts w:cs="Arial"/>
          <w:szCs w:val="22"/>
        </w:rPr>
        <w:t xml:space="preserve"> opened the meeting. </w:t>
      </w:r>
      <w:r w:rsidR="00CD1909">
        <w:rPr>
          <w:rFonts w:cs="Arial"/>
          <w:szCs w:val="22"/>
        </w:rPr>
        <w:t>The Commission</w:t>
      </w:r>
      <w:r w:rsidR="00CD1909" w:rsidRPr="00CD1909">
        <w:rPr>
          <w:rFonts w:cs="Arial"/>
          <w:szCs w:val="22"/>
        </w:rPr>
        <w:t xml:space="preserve"> </w:t>
      </w:r>
      <w:r w:rsidR="00CD1909">
        <w:rPr>
          <w:rFonts w:cs="Arial"/>
          <w:szCs w:val="22"/>
        </w:rPr>
        <w:t>informed the members</w:t>
      </w:r>
      <w:r w:rsidR="00CD1909" w:rsidRPr="00CD1909">
        <w:rPr>
          <w:rFonts w:cs="Arial"/>
          <w:szCs w:val="22"/>
        </w:rPr>
        <w:t xml:space="preserve"> that the </w:t>
      </w:r>
      <w:r w:rsidR="00CD1909">
        <w:rPr>
          <w:rFonts w:cs="Arial"/>
          <w:szCs w:val="22"/>
        </w:rPr>
        <w:t>joint</w:t>
      </w:r>
      <w:r w:rsidR="00CD1909" w:rsidRPr="00CD1909">
        <w:rPr>
          <w:rFonts w:cs="Arial"/>
          <w:szCs w:val="22"/>
        </w:rPr>
        <w:t xml:space="preserve"> meeting with H</w:t>
      </w:r>
      <w:r w:rsidR="00CD1909">
        <w:rPr>
          <w:rFonts w:cs="Arial"/>
          <w:szCs w:val="22"/>
        </w:rPr>
        <w:t xml:space="preserve">igh </w:t>
      </w:r>
      <w:r w:rsidR="00CD1909" w:rsidRPr="00CD1909">
        <w:rPr>
          <w:rFonts w:cs="Arial"/>
          <w:szCs w:val="22"/>
        </w:rPr>
        <w:t>L</w:t>
      </w:r>
      <w:r w:rsidR="00CD1909">
        <w:rPr>
          <w:rFonts w:cs="Arial"/>
          <w:szCs w:val="22"/>
        </w:rPr>
        <w:t xml:space="preserve">evel </w:t>
      </w:r>
      <w:r w:rsidR="00CD1909" w:rsidRPr="00CD1909">
        <w:rPr>
          <w:rFonts w:cs="Arial"/>
          <w:szCs w:val="22"/>
        </w:rPr>
        <w:t>G</w:t>
      </w:r>
      <w:r w:rsidR="00CD1909">
        <w:rPr>
          <w:rFonts w:cs="Arial"/>
          <w:szCs w:val="22"/>
        </w:rPr>
        <w:t>roup and the EU Platform</w:t>
      </w:r>
      <w:r w:rsidR="00CD1909" w:rsidRPr="00CD1909">
        <w:rPr>
          <w:rFonts w:cs="Arial"/>
          <w:szCs w:val="22"/>
        </w:rPr>
        <w:t xml:space="preserve"> </w:t>
      </w:r>
      <w:r w:rsidR="00CD1909">
        <w:rPr>
          <w:rFonts w:cs="Arial"/>
          <w:szCs w:val="22"/>
        </w:rPr>
        <w:t>has b</w:t>
      </w:r>
      <w:r>
        <w:rPr>
          <w:rFonts w:cs="Arial"/>
          <w:szCs w:val="22"/>
        </w:rPr>
        <w:t>een postponed to 1 June 2017. At</w:t>
      </w:r>
      <w:r w:rsidR="00CD1909">
        <w:rPr>
          <w:rFonts w:cs="Arial"/>
          <w:szCs w:val="22"/>
        </w:rPr>
        <w:t xml:space="preserve"> that occasion, Commissioner </w:t>
      </w:r>
      <w:r w:rsidR="00CD1909" w:rsidRPr="00CD1909">
        <w:rPr>
          <w:rFonts w:cs="Arial"/>
          <w:szCs w:val="22"/>
        </w:rPr>
        <w:t>Andriuka</w:t>
      </w:r>
      <w:r w:rsidR="006B79F9">
        <w:rPr>
          <w:rFonts w:cs="Arial"/>
          <w:szCs w:val="22"/>
        </w:rPr>
        <w:t>i</w:t>
      </w:r>
      <w:r w:rsidR="00CD1909" w:rsidRPr="00CD1909">
        <w:rPr>
          <w:rFonts w:cs="Arial"/>
          <w:szCs w:val="22"/>
        </w:rPr>
        <w:t>tis</w:t>
      </w:r>
      <w:r w:rsidR="00CD1909">
        <w:rPr>
          <w:rFonts w:cs="Arial"/>
          <w:szCs w:val="22"/>
        </w:rPr>
        <w:t xml:space="preserve"> </w:t>
      </w:r>
      <w:r>
        <w:rPr>
          <w:rFonts w:cs="Arial"/>
          <w:szCs w:val="22"/>
        </w:rPr>
        <w:t>is expected to</w:t>
      </w:r>
      <w:r w:rsidR="00CD1909">
        <w:rPr>
          <w:rFonts w:cs="Arial"/>
          <w:szCs w:val="22"/>
        </w:rPr>
        <w:t xml:space="preserve"> give an introductory statement.</w:t>
      </w:r>
    </w:p>
    <w:p w:rsidR="00772C2A" w:rsidRDefault="00772C2A" w:rsidP="00772C2A">
      <w:pPr>
        <w:tabs>
          <w:tab w:val="left" w:pos="7088"/>
        </w:tabs>
        <w:jc w:val="both"/>
        <w:rPr>
          <w:rFonts w:cs="Arial"/>
          <w:szCs w:val="22"/>
        </w:rPr>
      </w:pPr>
    </w:p>
    <w:p w:rsidR="00772C2A" w:rsidRDefault="00772C2A" w:rsidP="00772C2A">
      <w:pPr>
        <w:pStyle w:val="ListParagraph"/>
        <w:numPr>
          <w:ilvl w:val="0"/>
          <w:numId w:val="17"/>
        </w:numPr>
        <w:tabs>
          <w:tab w:val="left" w:pos="7088"/>
        </w:tabs>
        <w:jc w:val="both"/>
        <w:rPr>
          <w:rFonts w:cs="Arial"/>
          <w:b/>
          <w:szCs w:val="22"/>
          <w:u w:val="single"/>
        </w:rPr>
      </w:pPr>
      <w:r>
        <w:rPr>
          <w:rFonts w:cs="Arial"/>
          <w:b/>
          <w:szCs w:val="22"/>
          <w:u w:val="single"/>
        </w:rPr>
        <w:t>What’s new?</w:t>
      </w:r>
      <w:r w:rsidR="00145245">
        <w:rPr>
          <w:rFonts w:cs="Arial"/>
          <w:b/>
          <w:szCs w:val="22"/>
          <w:u w:val="single"/>
        </w:rPr>
        <w:t>, Joint Research Centre</w:t>
      </w:r>
    </w:p>
    <w:p w:rsidR="00772C2A" w:rsidRDefault="00772C2A" w:rsidP="00772C2A">
      <w:pPr>
        <w:tabs>
          <w:tab w:val="left" w:pos="7088"/>
        </w:tabs>
        <w:jc w:val="both"/>
        <w:rPr>
          <w:rFonts w:cs="Arial"/>
          <w:b/>
          <w:szCs w:val="22"/>
          <w:u w:val="single"/>
        </w:rPr>
      </w:pPr>
    </w:p>
    <w:p w:rsidR="008065B9" w:rsidRDefault="00772C2A" w:rsidP="00772C2A">
      <w:pPr>
        <w:jc w:val="both"/>
      </w:pPr>
      <w:r>
        <w:t xml:space="preserve">The </w:t>
      </w:r>
      <w:r>
        <w:rPr>
          <w:b/>
        </w:rPr>
        <w:t>Joint Research Centre (JRC)</w:t>
      </w:r>
      <w:r>
        <w:t xml:space="preserve"> </w:t>
      </w:r>
      <w:hyperlink r:id="rId11" w:history="1">
        <w:r w:rsidRPr="00145245">
          <w:rPr>
            <w:rStyle w:val="Hyperlink"/>
          </w:rPr>
          <w:t>presented</w:t>
        </w:r>
      </w:hyperlink>
      <w:r>
        <w:t xml:space="preserve"> </w:t>
      </w:r>
      <w:r w:rsidR="00F92185">
        <w:t>the recent</w:t>
      </w:r>
      <w:r w:rsidR="00AF648F">
        <w:t xml:space="preserve"> scientific and policy</w:t>
      </w:r>
      <w:r w:rsidR="00F92185">
        <w:t xml:space="preserve"> developments in the area of </w:t>
      </w:r>
      <w:r w:rsidR="00A51571">
        <w:t>nutrition and health. In the presentation</w:t>
      </w:r>
      <w:r w:rsidR="00AF648F">
        <w:t>,</w:t>
      </w:r>
      <w:r w:rsidR="00A51571">
        <w:t xml:space="preserve"> </w:t>
      </w:r>
      <w:r w:rsidR="00CA2293">
        <w:t xml:space="preserve">the latest statistics </w:t>
      </w:r>
      <w:r w:rsidR="00305BC4">
        <w:t>published</w:t>
      </w:r>
      <w:r w:rsidR="00CA2293">
        <w:t xml:space="preserve"> the European Cardiovasc</w:t>
      </w:r>
      <w:r w:rsidR="00A51571">
        <w:t>ular Disease Statistics and t</w:t>
      </w:r>
      <w:r w:rsidR="00CA2293">
        <w:t>he recent opinions from the French Agency for Food, Environmental and Occupational Health and Safety (ANSES) on the establishment of recommendations on sugar intake and on the relevance of nutrition information programmes for consumers were mentioned</w:t>
      </w:r>
      <w:r w:rsidR="00AF648F">
        <w:t>, amongst others</w:t>
      </w:r>
      <w:r w:rsidR="00CA2293">
        <w:t xml:space="preserve">. </w:t>
      </w:r>
    </w:p>
    <w:p w:rsidR="008065B9" w:rsidRDefault="008065B9" w:rsidP="00772C2A">
      <w:pPr>
        <w:jc w:val="both"/>
      </w:pPr>
    </w:p>
    <w:p w:rsidR="00772C2A" w:rsidRDefault="006B2800" w:rsidP="00772C2A">
      <w:pPr>
        <w:jc w:val="both"/>
      </w:pPr>
      <w:r>
        <w:t xml:space="preserve">The </w:t>
      </w:r>
      <w:r w:rsidR="00A51571">
        <w:t>presentation</w:t>
      </w:r>
      <w:r>
        <w:t xml:space="preserve"> also </w:t>
      </w:r>
      <w:r w:rsidR="00A51571">
        <w:t>referred</w:t>
      </w:r>
      <w:r>
        <w:t xml:space="preserve"> to several </w:t>
      </w:r>
      <w:r w:rsidR="00CE5A20">
        <w:t xml:space="preserve">new studies and publications </w:t>
      </w:r>
      <w:r w:rsidR="00772C2A">
        <w:t xml:space="preserve">(e.g. </w:t>
      </w:r>
      <w:r w:rsidR="008065B9">
        <w:t xml:space="preserve">a study </w:t>
      </w:r>
      <w:r w:rsidR="00CF1ADB">
        <w:t>on</w:t>
      </w:r>
      <w:r w:rsidR="008065B9">
        <w:t xml:space="preserve"> the changes in salt and sugars content of breakfast cereals in the UK </w:t>
      </w:r>
      <w:r w:rsidR="00A51571">
        <w:t>between</w:t>
      </w:r>
      <w:r w:rsidR="008065B9">
        <w:t xml:space="preserve"> 1992 </w:t>
      </w:r>
      <w:r w:rsidR="00A51571">
        <w:t>and</w:t>
      </w:r>
      <w:r w:rsidR="008065B9">
        <w:t xml:space="preserve"> 2015 and a review of total and added sugar intakes and dietary sources in ten European countries</w:t>
      </w:r>
      <w:r w:rsidR="00772C2A">
        <w:t xml:space="preserve">).  </w:t>
      </w:r>
    </w:p>
    <w:p w:rsidR="003741DF" w:rsidRDefault="003741DF" w:rsidP="003741DF">
      <w:pPr>
        <w:rPr>
          <w:rFonts w:cs="Arial"/>
          <w:szCs w:val="22"/>
          <w:u w:val="single"/>
        </w:rPr>
      </w:pPr>
    </w:p>
    <w:p w:rsidR="00940FDF" w:rsidRDefault="005F65F6" w:rsidP="005F65F6">
      <w:pPr>
        <w:jc w:val="both"/>
        <w:rPr>
          <w:rFonts w:cs="Arial"/>
          <w:szCs w:val="22"/>
        </w:rPr>
      </w:pPr>
      <w:r w:rsidRPr="005F65F6">
        <w:rPr>
          <w:rFonts w:cs="Arial"/>
          <w:szCs w:val="22"/>
        </w:rPr>
        <w:t xml:space="preserve">Since the </w:t>
      </w:r>
      <w:r w:rsidR="00511749">
        <w:rPr>
          <w:rFonts w:cs="Arial"/>
          <w:szCs w:val="22"/>
        </w:rPr>
        <w:t>JRC’s</w:t>
      </w:r>
      <w:r>
        <w:rPr>
          <w:rFonts w:cs="Arial"/>
          <w:szCs w:val="22"/>
        </w:rPr>
        <w:t xml:space="preserve"> presentation was not </w:t>
      </w:r>
      <w:r w:rsidR="00511749">
        <w:rPr>
          <w:rFonts w:cs="Arial"/>
          <w:szCs w:val="22"/>
        </w:rPr>
        <w:t>shared</w:t>
      </w:r>
      <w:r>
        <w:rPr>
          <w:rFonts w:cs="Arial"/>
          <w:szCs w:val="22"/>
        </w:rPr>
        <w:t xml:space="preserve"> in advance of the meeting, </w:t>
      </w:r>
      <w:r w:rsidR="00940FDF" w:rsidRPr="00940FDF">
        <w:rPr>
          <w:rFonts w:cs="Arial"/>
          <w:b/>
          <w:szCs w:val="22"/>
        </w:rPr>
        <w:t>FoodDrinkEurope</w:t>
      </w:r>
      <w:r w:rsidR="00940FDF">
        <w:rPr>
          <w:rFonts w:cs="Arial"/>
          <w:szCs w:val="22"/>
        </w:rPr>
        <w:t xml:space="preserve"> </w:t>
      </w:r>
      <w:r>
        <w:rPr>
          <w:rFonts w:cs="Arial"/>
          <w:szCs w:val="22"/>
        </w:rPr>
        <w:t>requested</w:t>
      </w:r>
      <w:r w:rsidR="00940FDF">
        <w:rPr>
          <w:rFonts w:cs="Arial"/>
          <w:szCs w:val="22"/>
        </w:rPr>
        <w:t xml:space="preserve"> to the Commission to make all the presentations available </w:t>
      </w:r>
      <w:r>
        <w:rPr>
          <w:rFonts w:cs="Arial"/>
          <w:szCs w:val="22"/>
        </w:rPr>
        <w:t xml:space="preserve">beforehand in order to allow members to prepare and contribute to the discussion. </w:t>
      </w:r>
      <w:r w:rsidR="00F52AE0">
        <w:rPr>
          <w:rFonts w:cs="Arial"/>
          <w:szCs w:val="22"/>
        </w:rPr>
        <w:t xml:space="preserve">The </w:t>
      </w:r>
      <w:r w:rsidR="00F52AE0" w:rsidRPr="00F52AE0">
        <w:rPr>
          <w:rFonts w:cs="Arial"/>
          <w:b/>
          <w:szCs w:val="22"/>
        </w:rPr>
        <w:t>European</w:t>
      </w:r>
      <w:r w:rsidR="00F52AE0">
        <w:rPr>
          <w:rFonts w:cs="Arial"/>
          <w:szCs w:val="22"/>
        </w:rPr>
        <w:t xml:space="preserve"> </w:t>
      </w:r>
      <w:r w:rsidR="00F52AE0" w:rsidRPr="00F52AE0">
        <w:rPr>
          <w:rFonts w:cs="Arial"/>
          <w:b/>
          <w:szCs w:val="22"/>
        </w:rPr>
        <w:t>Commission</w:t>
      </w:r>
      <w:r w:rsidR="00F52AE0">
        <w:rPr>
          <w:rFonts w:cs="Arial"/>
          <w:szCs w:val="22"/>
        </w:rPr>
        <w:t xml:space="preserve"> </w:t>
      </w:r>
      <w:r w:rsidR="00FB44B8">
        <w:rPr>
          <w:rFonts w:cs="Arial"/>
          <w:szCs w:val="22"/>
        </w:rPr>
        <w:t>replied that</w:t>
      </w:r>
      <w:r w:rsidR="00C36AF9">
        <w:rPr>
          <w:rFonts w:cs="Arial"/>
          <w:szCs w:val="22"/>
        </w:rPr>
        <w:t xml:space="preserve"> the request will be taken into account in view of </w:t>
      </w:r>
      <w:r w:rsidR="00FB44B8">
        <w:rPr>
          <w:rFonts w:cs="Arial"/>
          <w:szCs w:val="22"/>
        </w:rPr>
        <w:t xml:space="preserve">the future meetings. </w:t>
      </w:r>
    </w:p>
    <w:p w:rsidR="003741DF" w:rsidRDefault="003741DF" w:rsidP="003741DF"/>
    <w:p w:rsidR="00F52AE0" w:rsidRPr="00075AB9" w:rsidRDefault="00F52AE0" w:rsidP="00F52AE0">
      <w:pPr>
        <w:pStyle w:val="ListParagraph"/>
        <w:numPr>
          <w:ilvl w:val="0"/>
          <w:numId w:val="17"/>
        </w:numPr>
        <w:rPr>
          <w:b/>
          <w:u w:val="single"/>
        </w:rPr>
      </w:pPr>
      <w:r w:rsidRPr="00075AB9">
        <w:rPr>
          <w:b/>
          <w:u w:val="single"/>
        </w:rPr>
        <w:t>Discussion session on marketing and advertising</w:t>
      </w:r>
    </w:p>
    <w:p w:rsidR="00F52AE0" w:rsidRDefault="00F52AE0" w:rsidP="00F52AE0"/>
    <w:p w:rsidR="00F52AE0" w:rsidRDefault="00F52AE0" w:rsidP="00716277">
      <w:pPr>
        <w:ind w:left="708"/>
        <w:jc w:val="both"/>
        <w:rPr>
          <w:b/>
        </w:rPr>
      </w:pPr>
      <w:r w:rsidRPr="00F52AE0">
        <w:rPr>
          <w:b/>
        </w:rPr>
        <w:lastRenderedPageBreak/>
        <w:t>3.1 How to empower children to cope with embedded (food) advertising: the role of advertising and implications for appearance, self-esteem and eating habits</w:t>
      </w:r>
      <w:r w:rsidR="00145245">
        <w:rPr>
          <w:b/>
        </w:rPr>
        <w:t xml:space="preserve">, Ghent </w:t>
      </w:r>
      <w:r w:rsidR="00E72E74">
        <w:rPr>
          <w:b/>
        </w:rPr>
        <w:t>University</w:t>
      </w:r>
    </w:p>
    <w:p w:rsidR="00F52AE0" w:rsidRDefault="00F52AE0" w:rsidP="00F52AE0">
      <w:pPr>
        <w:ind w:firstLine="708"/>
        <w:rPr>
          <w:b/>
        </w:rPr>
      </w:pPr>
    </w:p>
    <w:p w:rsidR="00081E08" w:rsidRDefault="00880B87" w:rsidP="00AF648F">
      <w:pPr>
        <w:ind w:left="708"/>
        <w:jc w:val="both"/>
      </w:pPr>
      <w:r w:rsidRPr="00880B87">
        <w:t xml:space="preserve">Liselot Hudders </w:t>
      </w:r>
      <w:r>
        <w:t xml:space="preserve">and Verolien Cauberghe from </w:t>
      </w:r>
      <w:r w:rsidRPr="00D153EE">
        <w:rPr>
          <w:b/>
        </w:rPr>
        <w:t>Ghent University</w:t>
      </w:r>
      <w:r>
        <w:t xml:space="preserve"> </w:t>
      </w:r>
      <w:hyperlink r:id="rId12" w:history="1">
        <w:r w:rsidRPr="00573B17">
          <w:rPr>
            <w:rStyle w:val="Hyperlink"/>
          </w:rPr>
          <w:t>presented</w:t>
        </w:r>
      </w:hyperlink>
      <w:r>
        <w:t xml:space="preserve"> the results of a research project on </w:t>
      </w:r>
      <w:r w:rsidR="00D153EE">
        <w:t>advertising</w:t>
      </w:r>
      <w:r>
        <w:t xml:space="preserve"> literacy. </w:t>
      </w:r>
      <w:r w:rsidR="005251D9">
        <w:t>The project</w:t>
      </w:r>
      <w:r w:rsidR="001B2FD0">
        <w:t xml:space="preserve"> investigates</w:t>
      </w:r>
      <w:r>
        <w:t xml:space="preserve"> the role of advertising in general</w:t>
      </w:r>
      <w:r w:rsidR="00D153EE">
        <w:t xml:space="preserve"> –</w:t>
      </w:r>
      <w:r w:rsidR="00AF648F">
        <w:t xml:space="preserve"> </w:t>
      </w:r>
      <w:r w:rsidR="00D153EE">
        <w:t>not only food advertisement</w:t>
      </w:r>
      <w:r w:rsidR="00AF648F">
        <w:t xml:space="preserve"> –</w:t>
      </w:r>
      <w:r w:rsidR="00081E08">
        <w:t xml:space="preserve"> </w:t>
      </w:r>
      <w:r w:rsidR="001B2FD0">
        <w:t>with particular atten</w:t>
      </w:r>
      <w:r w:rsidR="00D153EE">
        <w:t>tion to new advertising formats and strategies.</w:t>
      </w:r>
      <w:r w:rsidR="00194175">
        <w:t xml:space="preserve"> The focus of the research is on</w:t>
      </w:r>
      <w:r w:rsidR="00081E08">
        <w:t xml:space="preserve"> the development of advertising literacy</w:t>
      </w:r>
      <w:r w:rsidR="00194175">
        <w:t xml:space="preserve"> in children</w:t>
      </w:r>
      <w:r>
        <w:t xml:space="preserve">. </w:t>
      </w:r>
      <w:r w:rsidR="00194175">
        <w:t xml:space="preserve">The researchers argued that </w:t>
      </w:r>
      <w:r w:rsidR="00017D8D">
        <w:t xml:space="preserve">children </w:t>
      </w:r>
      <w:r w:rsidR="00081E08">
        <w:t xml:space="preserve">should be </w:t>
      </w:r>
      <w:r w:rsidR="00230CFA">
        <w:t>trained</w:t>
      </w:r>
      <w:r w:rsidR="00081E08">
        <w:t xml:space="preserve"> to </w:t>
      </w:r>
      <w:r w:rsidR="00017D8D">
        <w:t xml:space="preserve">develop the necessary skills to </w:t>
      </w:r>
      <w:r w:rsidR="00230CFA">
        <w:t>understand marketing strategies</w:t>
      </w:r>
      <w:r w:rsidR="00017D8D">
        <w:t xml:space="preserve">. This would </w:t>
      </w:r>
      <w:r w:rsidR="004C060E">
        <w:t>enable</w:t>
      </w:r>
      <w:r w:rsidR="00017D8D">
        <w:t xml:space="preserve"> them to discern persuasive messages and critically reflect on them. It was underlined that the purpose of the project is not </w:t>
      </w:r>
      <w:r w:rsidR="00194175">
        <w:t xml:space="preserve">to instil </w:t>
      </w:r>
      <w:r w:rsidR="00B600DB">
        <w:t xml:space="preserve">a </w:t>
      </w:r>
      <w:r w:rsidR="00194175">
        <w:t>negative perception about advertising</w:t>
      </w:r>
      <w:r w:rsidR="00017D8D">
        <w:t xml:space="preserve">, but </w:t>
      </w:r>
      <w:r w:rsidR="00B600DB">
        <w:t>to help children to cope with advertising strategies and techniques</w:t>
      </w:r>
      <w:r w:rsidR="00017D8D">
        <w:t xml:space="preserve">. The speakers underlined the responsibility of the industry in </w:t>
      </w:r>
      <w:r w:rsidR="0039020E">
        <w:t>employing</w:t>
      </w:r>
      <w:r w:rsidR="00017D8D">
        <w:t xml:space="preserve"> advertising techniques </w:t>
      </w:r>
      <w:r w:rsidR="0039020E">
        <w:t>that</w:t>
      </w:r>
      <w:r w:rsidR="00017D8D">
        <w:t xml:space="preserve"> are </w:t>
      </w:r>
      <w:r w:rsidR="00DD417E">
        <w:t>not misleading</w:t>
      </w:r>
      <w:r w:rsidR="005E030C">
        <w:t>. They also noted that</w:t>
      </w:r>
      <w:r w:rsidR="00DD417E">
        <w:t xml:space="preserve"> </w:t>
      </w:r>
      <w:r w:rsidR="005E030C">
        <w:t xml:space="preserve">it is </w:t>
      </w:r>
      <w:r w:rsidR="00DD417E">
        <w:t>parents</w:t>
      </w:r>
      <w:r w:rsidR="005E030C">
        <w:t>’ duty</w:t>
      </w:r>
      <w:r w:rsidR="00DD417E">
        <w:t xml:space="preserve"> </w:t>
      </w:r>
      <w:r w:rsidR="005E030C">
        <w:t>to</w:t>
      </w:r>
      <w:r w:rsidR="00DD417E">
        <w:t xml:space="preserve"> </w:t>
      </w:r>
      <w:r w:rsidR="005E030C">
        <w:t>guide</w:t>
      </w:r>
      <w:r w:rsidR="00DD417E">
        <w:t xml:space="preserve"> children </w:t>
      </w:r>
      <w:r w:rsidR="00EC1F95">
        <w:t>in making</w:t>
      </w:r>
      <w:r w:rsidR="00DD417E">
        <w:t xml:space="preserve"> healthy food choices. </w:t>
      </w:r>
    </w:p>
    <w:p w:rsidR="00716277" w:rsidRDefault="00716277" w:rsidP="00880B87">
      <w:pPr>
        <w:ind w:left="708"/>
        <w:jc w:val="both"/>
      </w:pPr>
    </w:p>
    <w:p w:rsidR="00AF648F" w:rsidRDefault="00AF648F" w:rsidP="00AF648F">
      <w:pPr>
        <w:ind w:left="708"/>
        <w:jc w:val="both"/>
      </w:pPr>
      <w:r>
        <w:t xml:space="preserve">The </w:t>
      </w:r>
      <w:r w:rsidRPr="00C90DA6">
        <w:rPr>
          <w:b/>
        </w:rPr>
        <w:t xml:space="preserve">International Baby Food Action Network </w:t>
      </w:r>
      <w:r>
        <w:rPr>
          <w:b/>
        </w:rPr>
        <w:t>(I</w:t>
      </w:r>
      <w:r w:rsidRPr="0053127B">
        <w:rPr>
          <w:b/>
        </w:rPr>
        <w:t>B</w:t>
      </w:r>
      <w:r>
        <w:rPr>
          <w:b/>
        </w:rPr>
        <w:t>F</w:t>
      </w:r>
      <w:r w:rsidRPr="0053127B">
        <w:rPr>
          <w:b/>
        </w:rPr>
        <w:t>AN</w:t>
      </w:r>
      <w:r>
        <w:rPr>
          <w:b/>
        </w:rPr>
        <w:t>)</w:t>
      </w:r>
      <w:r w:rsidRPr="0053127B">
        <w:rPr>
          <w:b/>
        </w:rPr>
        <w:t xml:space="preserve"> </w:t>
      </w:r>
      <w:r>
        <w:t xml:space="preserve">asked the researchers from Ghent University whether it is possible to teach children to “defend” themselves from advertising and asked whether the project has received any corporate funding. </w:t>
      </w:r>
      <w:r w:rsidRPr="0053127B">
        <w:rPr>
          <w:b/>
        </w:rPr>
        <w:t>Ghent University</w:t>
      </w:r>
      <w:r>
        <w:t xml:space="preserve"> replied that broad stakeholders’ involvement, including industry participation, is important to achieve successful results, including effective self-regulatory mechanisms. They stated that the project did not receive any corporate funding. It was reiterated that advertising should not be considered negatively </w:t>
      </w:r>
      <w:r w:rsidRPr="009243AE">
        <w:rPr>
          <w:i/>
        </w:rPr>
        <w:t>per se</w:t>
      </w:r>
      <w:r>
        <w:t xml:space="preserve"> and that the sole purpose of developing advertising literacy in children is to make them aware of marketing techniques, without this entailing any negative judgement about them. They added that training sessions have proved effective. The researchers also expressed appreciation for the EU Pledge and the advertising literacy programme Media Smart. </w:t>
      </w:r>
    </w:p>
    <w:p w:rsidR="00AF648F" w:rsidRDefault="00AF648F" w:rsidP="00AF648F">
      <w:pPr>
        <w:ind w:left="708"/>
        <w:jc w:val="both"/>
      </w:pPr>
    </w:p>
    <w:p w:rsidR="00AF648F" w:rsidRDefault="00AF648F" w:rsidP="00AF648F">
      <w:pPr>
        <w:ind w:left="708"/>
        <w:jc w:val="both"/>
      </w:pPr>
      <w:r>
        <w:t xml:space="preserve">The </w:t>
      </w:r>
      <w:r w:rsidRPr="00531565">
        <w:rPr>
          <w:b/>
        </w:rPr>
        <w:t>European Public Health Alliance (EPHA)</w:t>
      </w:r>
      <w:r>
        <w:t xml:space="preserve"> asked why “the burden of advertising should be placed on children” rather than on the industry. The researchers from </w:t>
      </w:r>
      <w:r w:rsidRPr="00AF1296">
        <w:rPr>
          <w:b/>
        </w:rPr>
        <w:t>Ghent University</w:t>
      </w:r>
      <w:r>
        <w:t xml:space="preserve"> replied that it is necessary to address the issue from different angles. In this sense, advertising literacy should be complemented with actions taken by parents, industry and public authorities. They noted that the belief that a total ban on children advertising could solve the issue only postpones the problem to a later stage when, as adults, people have to deal and cope with advertising messages. The research shows that advertising literacy improves with experience. By being exposed to advertising, children learn and develop the critical skills needed. </w:t>
      </w:r>
    </w:p>
    <w:p w:rsidR="00AF648F" w:rsidRDefault="00AF648F" w:rsidP="00AF648F">
      <w:pPr>
        <w:ind w:left="708"/>
        <w:jc w:val="both"/>
      </w:pPr>
    </w:p>
    <w:p w:rsidR="00AF648F" w:rsidRDefault="00AF648F" w:rsidP="00AF648F">
      <w:pPr>
        <w:ind w:left="708"/>
        <w:jc w:val="both"/>
      </w:pPr>
      <w:r>
        <w:t xml:space="preserve">The </w:t>
      </w:r>
      <w:r w:rsidRPr="004D0C8F">
        <w:rPr>
          <w:b/>
        </w:rPr>
        <w:t>European Heart Network</w:t>
      </w:r>
      <w:r>
        <w:t xml:space="preserve"> </w:t>
      </w:r>
      <w:r w:rsidRPr="00B87995">
        <w:rPr>
          <w:b/>
        </w:rPr>
        <w:t>(EHN)</w:t>
      </w:r>
      <w:r>
        <w:t xml:space="preserve"> asked if evidence about the long-term effects (into adulthood) of advertising literacy programmes for children is available. The researchers from </w:t>
      </w:r>
      <w:r w:rsidRPr="00CF3C0B">
        <w:rPr>
          <w:b/>
        </w:rPr>
        <w:t>Ghent University</w:t>
      </w:r>
      <w:r>
        <w:t xml:space="preserve"> replied that research on long-term effects has not been conducted yet. </w:t>
      </w:r>
    </w:p>
    <w:p w:rsidR="00AF648F" w:rsidRDefault="00AF648F" w:rsidP="00AF648F">
      <w:pPr>
        <w:ind w:left="708"/>
        <w:jc w:val="both"/>
      </w:pPr>
    </w:p>
    <w:p w:rsidR="00AF648F" w:rsidRDefault="00AF648F" w:rsidP="00AF648F">
      <w:pPr>
        <w:ind w:left="708"/>
        <w:jc w:val="both"/>
      </w:pPr>
      <w:r>
        <w:t xml:space="preserve">The </w:t>
      </w:r>
      <w:r w:rsidRPr="00DD69CD">
        <w:rPr>
          <w:b/>
        </w:rPr>
        <w:t>European Commission</w:t>
      </w:r>
      <w:r>
        <w:t xml:space="preserve"> mentioned that research on marketing and advertising to children has been carried out also under the </w:t>
      </w:r>
      <w:hyperlink r:id="rId13" w:history="1">
        <w:r w:rsidRPr="002662AB">
          <w:rPr>
            <w:rStyle w:val="Hyperlink"/>
          </w:rPr>
          <w:t>iFamily Study</w:t>
        </w:r>
      </w:hyperlink>
      <w:r>
        <w:t xml:space="preserve">. The Commission suggested to invite the project partners of the iFamily study at a future meeting of the EU Platform to present their findings. </w:t>
      </w:r>
    </w:p>
    <w:p w:rsidR="00AF648F" w:rsidRDefault="00AF648F" w:rsidP="00880B87">
      <w:pPr>
        <w:ind w:left="708"/>
        <w:jc w:val="both"/>
      </w:pPr>
      <w:r>
        <w:br/>
      </w:r>
      <w:r>
        <w:br/>
      </w:r>
    </w:p>
    <w:p w:rsidR="00AF648F" w:rsidRPr="00716277" w:rsidRDefault="00716277" w:rsidP="00AF648F">
      <w:pPr>
        <w:ind w:left="708"/>
        <w:jc w:val="both"/>
        <w:rPr>
          <w:b/>
        </w:rPr>
      </w:pPr>
      <w:r w:rsidRPr="00716277">
        <w:rPr>
          <w:b/>
        </w:rPr>
        <w:lastRenderedPageBreak/>
        <w:t>3.2 Polish experiences as an example of effective self-regulation f</w:t>
      </w:r>
      <w:r w:rsidR="00396E2E">
        <w:rPr>
          <w:b/>
        </w:rPr>
        <w:t xml:space="preserve">or food advertising to children, </w:t>
      </w:r>
      <w:r w:rsidR="00396E2E" w:rsidRPr="00396E2E">
        <w:rPr>
          <w:b/>
        </w:rPr>
        <w:t>Polish Federation of Food Industry, Union of Employers</w:t>
      </w:r>
    </w:p>
    <w:p w:rsidR="00081E08" w:rsidRDefault="00081E08" w:rsidP="00880B87">
      <w:pPr>
        <w:ind w:left="708"/>
        <w:jc w:val="both"/>
      </w:pPr>
    </w:p>
    <w:p w:rsidR="00573B17" w:rsidRDefault="00573B17" w:rsidP="00880B87">
      <w:pPr>
        <w:ind w:left="708"/>
        <w:jc w:val="both"/>
      </w:pPr>
      <w:r>
        <w:t xml:space="preserve">The </w:t>
      </w:r>
      <w:r w:rsidRPr="00396E2E">
        <w:rPr>
          <w:b/>
        </w:rPr>
        <w:t>Polish Federation of Food Industry, Union of Employers (PFPZ)</w:t>
      </w:r>
      <w:r w:rsidR="00AF648F">
        <w:t>, member of FoodDrinkEurope,</w:t>
      </w:r>
      <w:r>
        <w:t xml:space="preserve"> gave a </w:t>
      </w:r>
      <w:hyperlink r:id="rId14" w:history="1">
        <w:r w:rsidRPr="003C54F6">
          <w:rPr>
            <w:rStyle w:val="Hyperlink"/>
          </w:rPr>
          <w:t>presentation</w:t>
        </w:r>
      </w:hyperlink>
      <w:r>
        <w:t xml:space="preserve"> about the Polish experience in self-regulation of advertising. </w:t>
      </w:r>
      <w:r w:rsidR="00EA757F">
        <w:t xml:space="preserve">The new self-regulatory system based on nutritional criteria was adopted in 2014 and is officially in force since January 2015. </w:t>
      </w:r>
      <w:r w:rsidR="000A75BF">
        <w:t>The rules have been endorsed by the Polish broadcasters, the National Broadcasting Council and the Ministry of Health. In 2015, 100% of advertisements of sugar and sugar-based products,</w:t>
      </w:r>
      <w:r w:rsidR="00D87E5E">
        <w:t xml:space="preserve"> non-alcoholic drinks, </w:t>
      </w:r>
      <w:r w:rsidR="000A75BF">
        <w:t>potato chips and potato-based snacks were in line with the broadcasters’</w:t>
      </w:r>
      <w:r w:rsidR="00D87E5E">
        <w:t xml:space="preserve"> agreement, thus proving that self-regulation is an effective tool. </w:t>
      </w:r>
    </w:p>
    <w:p w:rsidR="00DD69CD" w:rsidRDefault="00DD69CD" w:rsidP="009243AE">
      <w:pPr>
        <w:ind w:left="708"/>
        <w:jc w:val="both"/>
      </w:pPr>
    </w:p>
    <w:p w:rsidR="003741DF" w:rsidRPr="00075AB9" w:rsidRDefault="003C54F6" w:rsidP="003C54F6">
      <w:pPr>
        <w:pStyle w:val="ListParagraph"/>
        <w:numPr>
          <w:ilvl w:val="0"/>
          <w:numId w:val="17"/>
        </w:numPr>
        <w:jc w:val="both"/>
        <w:rPr>
          <w:b/>
          <w:u w:val="single"/>
        </w:rPr>
      </w:pPr>
      <w:r w:rsidRPr="00075AB9">
        <w:rPr>
          <w:b/>
          <w:u w:val="single"/>
        </w:rPr>
        <w:t>Update on recent activities</w:t>
      </w:r>
      <w:r w:rsidR="00805763">
        <w:rPr>
          <w:b/>
          <w:u w:val="single"/>
        </w:rPr>
        <w:t>, DG SANTE</w:t>
      </w:r>
    </w:p>
    <w:p w:rsidR="003C54F6" w:rsidRDefault="003C54F6" w:rsidP="003C54F6">
      <w:pPr>
        <w:jc w:val="both"/>
      </w:pPr>
    </w:p>
    <w:p w:rsidR="003C54F6" w:rsidRPr="003C54F6" w:rsidRDefault="002F6710" w:rsidP="003C54F6">
      <w:pPr>
        <w:jc w:val="both"/>
      </w:pPr>
      <w:r>
        <w:rPr>
          <w:b/>
        </w:rPr>
        <w:t>The French Agency for Food, Environmental and Occupational Health and Safety (</w:t>
      </w:r>
      <w:r w:rsidR="003C54F6" w:rsidRPr="003C54F6">
        <w:rPr>
          <w:b/>
        </w:rPr>
        <w:t>ANSES</w:t>
      </w:r>
      <w:r>
        <w:rPr>
          <w:b/>
        </w:rPr>
        <w:t>)</w:t>
      </w:r>
      <w:r w:rsidR="003C54F6">
        <w:rPr>
          <w:b/>
        </w:rPr>
        <w:t xml:space="preserve"> </w:t>
      </w:r>
      <w:r w:rsidR="00AF648F">
        <w:t xml:space="preserve">informed </w:t>
      </w:r>
      <w:r w:rsidR="009730A9">
        <w:t>participants about the latest developments</w:t>
      </w:r>
      <w:r w:rsidR="00A75BBA">
        <w:t xml:space="preserve"> on the JANPA Work Package 5 (Nutritional Information)</w:t>
      </w:r>
      <w:r>
        <w:t>,</w:t>
      </w:r>
      <w:r w:rsidR="00A75BBA">
        <w:t xml:space="preserve"> </w:t>
      </w:r>
      <w:r w:rsidR="00AF648F">
        <w:t xml:space="preserve">which has integrated </w:t>
      </w:r>
      <w:r w:rsidR="00A75BBA">
        <w:t>the</w:t>
      </w:r>
      <w:r w:rsidR="00AF648F">
        <w:t xml:space="preserve"> work of</w:t>
      </w:r>
      <w:r w:rsidR="00A75BBA">
        <w:t xml:space="preserve"> E</w:t>
      </w:r>
      <w:r w:rsidR="00AF648F">
        <w:t>U</w:t>
      </w:r>
      <w:r w:rsidR="00A75BBA">
        <w:t xml:space="preserve">’s Working Group on monitoring of reformulation activities. </w:t>
      </w:r>
      <w:r w:rsidR="00FD685C">
        <w:t xml:space="preserve">The </w:t>
      </w:r>
      <w:r w:rsidR="002D35BC">
        <w:t>results</w:t>
      </w:r>
      <w:r w:rsidR="00FD685C">
        <w:t xml:space="preserve"> of the pilot studies in Austria and Romania will be published in September 2017. </w:t>
      </w:r>
      <w:r w:rsidR="002D35BC">
        <w:t>JANPA WP5 collected n</w:t>
      </w:r>
      <w:r w:rsidR="00FD685C">
        <w:t xml:space="preserve">utritional information on breakfast cereals and soft drinks by using information available on the labels. </w:t>
      </w:r>
      <w:r w:rsidR="002D35BC">
        <w:t>The</w:t>
      </w:r>
      <w:r w:rsidR="00FD685C">
        <w:t xml:space="preserve"> products have been further classified in sub-categories</w:t>
      </w:r>
      <w:r w:rsidR="002D35BC">
        <w:t>. ANSES emphasised</w:t>
      </w:r>
      <w:r w:rsidR="00FD685C">
        <w:t xml:space="preserve"> </w:t>
      </w:r>
      <w:r w:rsidR="002D35BC">
        <w:t>the importance of</w:t>
      </w:r>
      <w:r w:rsidR="00FD685C">
        <w:t xml:space="preserve"> work</w:t>
      </w:r>
      <w:r w:rsidR="002D35BC">
        <w:t>ing</w:t>
      </w:r>
      <w:r w:rsidR="00FD685C">
        <w:t xml:space="preserve"> </w:t>
      </w:r>
      <w:r w:rsidR="004C4848">
        <w:t>at sub-category level</w:t>
      </w:r>
      <w:r w:rsidR="00FD685C">
        <w:t xml:space="preserve"> when setting benchmarks for reformulation</w:t>
      </w:r>
      <w:r w:rsidR="00AF648F">
        <w:t>, given the wide variety in the market</w:t>
      </w:r>
      <w:r w:rsidR="00FD685C">
        <w:t xml:space="preserve">. </w:t>
      </w:r>
      <w:r w:rsidR="0027496A">
        <w:t xml:space="preserve">As regards the monitoring, ANSES said that this </w:t>
      </w:r>
      <w:r w:rsidR="00FD107D">
        <w:t>should</w:t>
      </w:r>
      <w:r w:rsidR="0027496A">
        <w:t xml:space="preserve"> be carried out in each country given that </w:t>
      </w:r>
      <w:r w:rsidR="00FD107D">
        <w:t xml:space="preserve">the composition </w:t>
      </w:r>
      <w:r w:rsidR="0027496A">
        <w:t>may</w:t>
      </w:r>
      <w:r w:rsidR="00FD107D">
        <w:t xml:space="preserve"> differ from one country to the other. </w:t>
      </w:r>
      <w:r w:rsidR="00AF648F">
        <w:t>Industry data is needed.</w:t>
      </w:r>
    </w:p>
    <w:p w:rsidR="003C54F6" w:rsidRDefault="003C54F6" w:rsidP="003C54F6">
      <w:pPr>
        <w:jc w:val="both"/>
      </w:pPr>
    </w:p>
    <w:p w:rsidR="003741DF" w:rsidRPr="00FA7B7E" w:rsidRDefault="00FD107D" w:rsidP="00C07DE0">
      <w:pPr>
        <w:jc w:val="both"/>
      </w:pPr>
      <w:r w:rsidRPr="00FA7B7E">
        <w:rPr>
          <w:b/>
        </w:rPr>
        <w:t>FoodDrinkEurope</w:t>
      </w:r>
      <w:r w:rsidRPr="00FA7B7E">
        <w:t xml:space="preserve"> </w:t>
      </w:r>
      <w:r w:rsidR="00FA7B7E">
        <w:t>asked the Commission to report back on the outcome of meeting of the High Level Group</w:t>
      </w:r>
      <w:r w:rsidR="00AF648F">
        <w:t xml:space="preserve"> on Nutrition and Physical Activity (HLG)</w:t>
      </w:r>
      <w:r w:rsidR="00FA7B7E">
        <w:t xml:space="preserve"> of 8 March</w:t>
      </w:r>
      <w:r w:rsidR="00262645">
        <w:t xml:space="preserve"> and the </w:t>
      </w:r>
      <w:r w:rsidR="0055288D">
        <w:t xml:space="preserve">meeting of the </w:t>
      </w:r>
      <w:r w:rsidR="00AF648F">
        <w:t>HLG expert group</w:t>
      </w:r>
      <w:r w:rsidR="00262645">
        <w:t xml:space="preserve"> on reformulation of 7 March</w:t>
      </w:r>
      <w:r w:rsidR="00DA1299">
        <w:t xml:space="preserve">. FoodDrinkEurope </w:t>
      </w:r>
      <w:r w:rsidR="00AF648F">
        <w:t>re-emphasized</w:t>
      </w:r>
      <w:r w:rsidR="00DA1299">
        <w:t xml:space="preserve"> </w:t>
      </w:r>
      <w:r w:rsidR="00FA7B7E">
        <w:t xml:space="preserve">the need to conduct national dietary surveys in order to </w:t>
      </w:r>
      <w:r w:rsidR="00956B26">
        <w:t>target</w:t>
      </w:r>
      <w:r w:rsidR="00FA7B7E">
        <w:t xml:space="preserve"> reformulation efforts</w:t>
      </w:r>
      <w:r w:rsidR="00956B26">
        <w:t xml:space="preserve"> and direct them</w:t>
      </w:r>
      <w:r w:rsidR="00FA7B7E">
        <w:t xml:space="preserve"> where </w:t>
      </w:r>
      <w:r w:rsidR="00DA1299">
        <w:t>these</w:t>
      </w:r>
      <w:r w:rsidR="00C07DE0">
        <w:t xml:space="preserve"> can have greater impact. In relation to product categorisation, FoodDrinkEurope suggested that consumer insight</w:t>
      </w:r>
      <w:r w:rsidR="00AF648F">
        <w:t>s</w:t>
      </w:r>
      <w:r w:rsidR="00C07DE0">
        <w:t xml:space="preserve"> could be an important </w:t>
      </w:r>
      <w:r w:rsidR="00FF471C">
        <w:t>starting</w:t>
      </w:r>
      <w:r w:rsidR="00AF648F">
        <w:t xml:space="preserve"> point; </w:t>
      </w:r>
      <w:r w:rsidR="00C07DE0">
        <w:t xml:space="preserve">national specificities must be taken into account. </w:t>
      </w:r>
    </w:p>
    <w:p w:rsidR="003741DF" w:rsidRDefault="003741DF" w:rsidP="003741DF"/>
    <w:p w:rsidR="003741DF" w:rsidRDefault="00AF648F" w:rsidP="00032165">
      <w:pPr>
        <w:jc w:val="both"/>
      </w:pPr>
      <w:r>
        <w:rPr>
          <w:b/>
        </w:rPr>
        <w:t>Nestl</w:t>
      </w:r>
      <w:r>
        <w:rPr>
          <w:rFonts w:cs="Arial"/>
          <w:b/>
        </w:rPr>
        <w:t>é</w:t>
      </w:r>
      <w:r w:rsidR="00F90E3B">
        <w:t xml:space="preserve"> expressed its support for a coordinated EU monitoring methodology and suggested that the industry could contribute by directly submitting</w:t>
      </w:r>
      <w:r w:rsidR="00906855">
        <w:t xml:space="preserve"> data </w:t>
      </w:r>
      <w:r w:rsidR="00834BC1">
        <w:t>on</w:t>
      </w:r>
      <w:r w:rsidR="00906855">
        <w:t xml:space="preserve"> the</w:t>
      </w:r>
      <w:r w:rsidR="00F90E3B">
        <w:t xml:space="preserve"> nutritional </w:t>
      </w:r>
      <w:r w:rsidR="00906855">
        <w:t>composition of their products</w:t>
      </w:r>
      <w:r w:rsidR="00DB2700">
        <w:t>. Nestl</w:t>
      </w:r>
      <w:r w:rsidRPr="00AF648F">
        <w:rPr>
          <w:rFonts w:cs="Arial"/>
        </w:rPr>
        <w:t>é</w:t>
      </w:r>
      <w:r w:rsidR="00F90E3B">
        <w:t xml:space="preserve"> also suggested </w:t>
      </w:r>
      <w:r w:rsidR="00DB2700">
        <w:t>to put in place a joint procurement at EU level by</w:t>
      </w:r>
      <w:r w:rsidR="00F90E3B">
        <w:t xml:space="preserve"> </w:t>
      </w:r>
      <w:r w:rsidR="00DB2700">
        <w:t>using commercial databases</w:t>
      </w:r>
      <w:r w:rsidR="00F90E3B">
        <w:t xml:space="preserve">. </w:t>
      </w:r>
      <w:r w:rsidR="00906855" w:rsidRPr="00906855">
        <w:rPr>
          <w:b/>
        </w:rPr>
        <w:t>IBFAN</w:t>
      </w:r>
      <w:r w:rsidR="00906855">
        <w:rPr>
          <w:b/>
        </w:rPr>
        <w:t xml:space="preserve"> </w:t>
      </w:r>
      <w:r w:rsidR="00906855">
        <w:t xml:space="preserve">praised the fact that the industry is willing to provide </w:t>
      </w:r>
      <w:r w:rsidR="00032165">
        <w:t>data</w:t>
      </w:r>
      <w:r w:rsidR="00A32DCD">
        <w:t>, but urged caution with the use of commercial databases.</w:t>
      </w:r>
      <w:r w:rsidR="00906855">
        <w:t xml:space="preserve"> </w:t>
      </w:r>
      <w:r w:rsidR="003741DF">
        <w:t xml:space="preserve"> </w:t>
      </w:r>
    </w:p>
    <w:p w:rsidR="00A7757C" w:rsidRDefault="00A7757C" w:rsidP="003741DF"/>
    <w:p w:rsidR="00961C88" w:rsidRDefault="00A7757C" w:rsidP="00961C88">
      <w:pPr>
        <w:jc w:val="both"/>
      </w:pPr>
      <w:r w:rsidRPr="00961C88">
        <w:rPr>
          <w:b/>
        </w:rPr>
        <w:t>ANSES</w:t>
      </w:r>
      <w:r>
        <w:t xml:space="preserve"> </w:t>
      </w:r>
      <w:r w:rsidR="00961C88">
        <w:t>noted that the data available on the Mintel’s Global New Products Database (GNPD) –</w:t>
      </w:r>
      <w:r w:rsidR="00A32DCD">
        <w:t xml:space="preserve"> </w:t>
      </w:r>
      <w:r w:rsidR="00961C88">
        <w:t>currently being used by JANPA WP5</w:t>
      </w:r>
      <w:r w:rsidR="00A32DCD">
        <w:t xml:space="preserve"> –</w:t>
      </w:r>
      <w:r w:rsidR="00961C88">
        <w:t xml:space="preserve"> is focused on innovation and new products</w:t>
      </w:r>
      <w:r w:rsidR="00A32DCD">
        <w:t xml:space="preserve"> and may</w:t>
      </w:r>
      <w:r w:rsidR="00961C88">
        <w:t xml:space="preserve"> therefore </w:t>
      </w:r>
      <w:r w:rsidR="00A32DCD">
        <w:t>not be</w:t>
      </w:r>
      <w:r w:rsidR="00961C88">
        <w:t xml:space="preserve"> representative of the market. </w:t>
      </w:r>
      <w:r w:rsidR="00A32DCD">
        <w:t>There are similar challenges for Euromonitor’s Passport Nutrition, which is used by JRC.</w:t>
      </w:r>
    </w:p>
    <w:p w:rsidR="00961C88" w:rsidRDefault="00961C88" w:rsidP="003741DF"/>
    <w:p w:rsidR="003741DF" w:rsidRDefault="00EB3621" w:rsidP="00EB3621">
      <w:pPr>
        <w:jc w:val="both"/>
      </w:pPr>
      <w:r w:rsidRPr="00EB3621">
        <w:rPr>
          <w:b/>
        </w:rPr>
        <w:t>CEFS</w:t>
      </w:r>
      <w:r w:rsidR="00CE6634">
        <w:t xml:space="preserve"> asked </w:t>
      </w:r>
      <w:r>
        <w:t xml:space="preserve">ANSES whether the monitoring exercise will also cover </w:t>
      </w:r>
      <w:r w:rsidR="00CE6634">
        <w:t>energy</w:t>
      </w:r>
      <w:r>
        <w:t>. It highlighted the importance of ensuring that sug</w:t>
      </w:r>
      <w:r w:rsidR="006456A8">
        <w:t>ar reduction entails energy reduction</w:t>
      </w:r>
      <w:r w:rsidR="00BD1233">
        <w:t xml:space="preserve">. </w:t>
      </w:r>
      <w:r w:rsidRPr="00A32DCD">
        <w:rPr>
          <w:b/>
        </w:rPr>
        <w:t xml:space="preserve">ANSES </w:t>
      </w:r>
      <w:r>
        <w:t xml:space="preserve">replied that all </w:t>
      </w:r>
      <w:r w:rsidR="00BD1233">
        <w:t>nutritional information</w:t>
      </w:r>
      <w:r>
        <w:t xml:space="preserve"> available on label</w:t>
      </w:r>
      <w:r w:rsidR="009D0DDD">
        <w:t>s</w:t>
      </w:r>
      <w:r>
        <w:t xml:space="preserve"> is being </w:t>
      </w:r>
      <w:r w:rsidR="00BD1233">
        <w:t>monitored</w:t>
      </w:r>
      <w:r>
        <w:t xml:space="preserve">. </w:t>
      </w:r>
    </w:p>
    <w:p w:rsidR="00032165" w:rsidRDefault="00032165" w:rsidP="00EB3621">
      <w:pPr>
        <w:jc w:val="both"/>
      </w:pPr>
    </w:p>
    <w:p w:rsidR="001A4208" w:rsidRDefault="00032165" w:rsidP="00EB3621">
      <w:pPr>
        <w:jc w:val="both"/>
      </w:pPr>
      <w:r>
        <w:t xml:space="preserve">In response to FoodDrinkEurope’s remarks, the </w:t>
      </w:r>
      <w:r w:rsidRPr="00032165">
        <w:rPr>
          <w:b/>
        </w:rPr>
        <w:t>European Commission</w:t>
      </w:r>
      <w:r>
        <w:rPr>
          <w:b/>
        </w:rPr>
        <w:t xml:space="preserve"> </w:t>
      </w:r>
      <w:r>
        <w:t xml:space="preserve">noted </w:t>
      </w:r>
      <w:r w:rsidR="001A4208">
        <w:t>the following:</w:t>
      </w:r>
    </w:p>
    <w:p w:rsidR="00B04633" w:rsidRDefault="00B04633" w:rsidP="00EB3621">
      <w:pPr>
        <w:jc w:val="both"/>
      </w:pPr>
    </w:p>
    <w:p w:rsidR="001A4208" w:rsidRDefault="001A4208" w:rsidP="001A4208">
      <w:pPr>
        <w:pStyle w:val="ListParagraph"/>
        <w:numPr>
          <w:ilvl w:val="0"/>
          <w:numId w:val="22"/>
        </w:numPr>
        <w:jc w:val="both"/>
      </w:pPr>
      <w:r>
        <w:lastRenderedPageBreak/>
        <w:t>D</w:t>
      </w:r>
      <w:r w:rsidR="00032165">
        <w:t>ietary surveys are very expensive and cannot be covered under the budget allocated for the EU Health Programme 2014-2020.</w:t>
      </w:r>
      <w:r w:rsidR="00A32DCD">
        <w:t xml:space="preserve"> In a ‘gold plate scenario’, it could cost over 15 milliion euros.</w:t>
      </w:r>
      <w:r w:rsidR="00032165">
        <w:t xml:space="preserve"> </w:t>
      </w:r>
    </w:p>
    <w:p w:rsidR="001A4208" w:rsidRDefault="001A4208" w:rsidP="00A32DCD">
      <w:pPr>
        <w:pStyle w:val="ListParagraph"/>
        <w:numPr>
          <w:ilvl w:val="0"/>
          <w:numId w:val="22"/>
        </w:numPr>
        <w:jc w:val="both"/>
      </w:pPr>
      <w:r>
        <w:t>When setting benchmarks, national</w:t>
      </w:r>
      <w:r w:rsidR="00032165">
        <w:t xml:space="preserve"> specificities</w:t>
      </w:r>
      <w:r>
        <w:t xml:space="preserve"> will be considered</w:t>
      </w:r>
      <w:r w:rsidR="00032165">
        <w:t xml:space="preserve">. </w:t>
      </w:r>
      <w:r w:rsidR="00A32DCD">
        <w:t>However, according to the Commission, in</w:t>
      </w:r>
      <w:r w:rsidR="00A32DCD" w:rsidRPr="00A32DCD">
        <w:t xml:space="preserve"> some M</w:t>
      </w:r>
      <w:r w:rsidR="00A32DCD">
        <w:t xml:space="preserve">ember </w:t>
      </w:r>
      <w:r w:rsidR="00A32DCD" w:rsidRPr="00A32DCD">
        <w:t>S</w:t>
      </w:r>
      <w:r w:rsidR="00A32DCD">
        <w:t>tates</w:t>
      </w:r>
      <w:r w:rsidR="00A32DCD" w:rsidRPr="00A32DCD">
        <w:t>, the need for flexibility may be misunderstood with the need for agreement at EU level.</w:t>
      </w:r>
      <w:r w:rsidR="00A32DCD">
        <w:t xml:space="preserve"> This can go in parallel and does not have to stall the process.</w:t>
      </w:r>
    </w:p>
    <w:p w:rsidR="001A4208" w:rsidRDefault="00A32DCD" w:rsidP="001A4208">
      <w:pPr>
        <w:pStyle w:val="ListParagraph"/>
        <w:numPr>
          <w:ilvl w:val="0"/>
          <w:numId w:val="22"/>
        </w:numPr>
        <w:jc w:val="both"/>
      </w:pPr>
      <w:r>
        <w:t xml:space="preserve">Databases are useful and nutrition labelling is a good piece of information. </w:t>
      </w:r>
      <w:r w:rsidR="00032165">
        <w:t xml:space="preserve">The possibility of doing a joint procurement for data on nutritional composition is being explored. </w:t>
      </w:r>
    </w:p>
    <w:p w:rsidR="00A32DCD" w:rsidRDefault="001A4208" w:rsidP="004C6317">
      <w:pPr>
        <w:pStyle w:val="ListParagraph"/>
        <w:numPr>
          <w:ilvl w:val="0"/>
          <w:numId w:val="22"/>
        </w:numPr>
        <w:jc w:val="both"/>
      </w:pPr>
      <w:r>
        <w:t>At the meetings on 7 and 8 March, Member States agreed t</w:t>
      </w:r>
      <w:r w:rsidR="00A32DCD">
        <w:t xml:space="preserve">hat: </w:t>
      </w:r>
    </w:p>
    <w:p w:rsidR="00A32DCD" w:rsidRDefault="00A32DCD" w:rsidP="00A32DCD">
      <w:pPr>
        <w:pStyle w:val="ListParagraph"/>
        <w:numPr>
          <w:ilvl w:val="1"/>
          <w:numId w:val="22"/>
        </w:numPr>
        <w:jc w:val="both"/>
      </w:pPr>
      <w:r>
        <w:t xml:space="preserve">The JANPA approach (OQALI model) is a promising methodology; the monitoring will include all information available on the labels. </w:t>
      </w:r>
    </w:p>
    <w:p w:rsidR="00A32DCD" w:rsidRDefault="00A32DCD" w:rsidP="00A32DCD">
      <w:pPr>
        <w:pStyle w:val="ListParagraph"/>
        <w:numPr>
          <w:ilvl w:val="1"/>
          <w:numId w:val="22"/>
        </w:numPr>
        <w:jc w:val="both"/>
      </w:pPr>
      <w:r>
        <w:t>This is an opportunity to revamp efforts on salt, saturated fat and sugars reduction (while lowering calories);</w:t>
      </w:r>
    </w:p>
    <w:p w:rsidR="00A32DCD" w:rsidRDefault="00A32DCD" w:rsidP="00BD17FE">
      <w:pPr>
        <w:pStyle w:val="ListParagraph"/>
        <w:numPr>
          <w:ilvl w:val="1"/>
          <w:numId w:val="22"/>
        </w:numPr>
        <w:jc w:val="both"/>
      </w:pPr>
      <w:r>
        <w:t>There is an important span within categories on added sugars, so</w:t>
      </w:r>
      <w:r w:rsidR="00F47763">
        <w:t xml:space="preserve"> there is scope for improvement.</w:t>
      </w:r>
    </w:p>
    <w:p w:rsidR="00A32DCD" w:rsidRDefault="001A4208" w:rsidP="00A32DCD">
      <w:pPr>
        <w:pStyle w:val="ListParagraph"/>
        <w:numPr>
          <w:ilvl w:val="0"/>
          <w:numId w:val="22"/>
        </w:numPr>
        <w:jc w:val="both"/>
      </w:pPr>
      <w:r>
        <w:t>On the issue regarding communication of industry efforts</w:t>
      </w:r>
      <w:r w:rsidRPr="001A4208">
        <w:t xml:space="preserve"> </w:t>
      </w:r>
      <w:r>
        <w:t xml:space="preserve">in product formulation, the Commission reported that the Member States did not reach an agreement yet and are still discussing possible ways of communicating it. </w:t>
      </w:r>
    </w:p>
    <w:p w:rsidR="00A32DCD" w:rsidRDefault="00A32DCD" w:rsidP="00A32DCD">
      <w:pPr>
        <w:pStyle w:val="ListParagraph"/>
        <w:numPr>
          <w:ilvl w:val="0"/>
          <w:numId w:val="22"/>
        </w:numPr>
        <w:jc w:val="both"/>
      </w:pPr>
      <w:r>
        <w:t>For the 2017 budget, the Commission envisages the following projects:</w:t>
      </w:r>
    </w:p>
    <w:p w:rsidR="00A32DCD" w:rsidRPr="00A32DCD" w:rsidRDefault="00A32DCD" w:rsidP="00FD4529">
      <w:pPr>
        <w:pStyle w:val="ListParagraph"/>
        <w:numPr>
          <w:ilvl w:val="1"/>
          <w:numId w:val="22"/>
        </w:numPr>
        <w:jc w:val="both"/>
      </w:pPr>
      <w:r>
        <w:t>A p</w:t>
      </w:r>
      <w:r w:rsidRPr="00A32DCD">
        <w:t>roject to support Member States work on reformulation</w:t>
      </w:r>
      <w:r>
        <w:t>, including s</w:t>
      </w:r>
      <w:r w:rsidRPr="00A32DCD">
        <w:t>upport work on monitoring. Some additional scientific advice</w:t>
      </w:r>
      <w:r>
        <w:t xml:space="preserve"> might be undertaken too</w:t>
      </w:r>
      <w:r w:rsidRPr="00A32DCD">
        <w:t xml:space="preserve">. </w:t>
      </w:r>
    </w:p>
    <w:p w:rsidR="00A32DCD" w:rsidRDefault="00A32DCD" w:rsidP="00A32DCD">
      <w:pPr>
        <w:pStyle w:val="ListParagraph"/>
        <w:numPr>
          <w:ilvl w:val="1"/>
          <w:numId w:val="22"/>
        </w:numPr>
        <w:jc w:val="both"/>
      </w:pPr>
      <w:r>
        <w:t xml:space="preserve">Public procurement: initiative to support Member States in bringing the Maltese EU Presidency document on public procurement of foods in schools to the national level (integrating it into national guidelines). </w:t>
      </w:r>
    </w:p>
    <w:p w:rsidR="00A32DCD" w:rsidRDefault="00A32DCD" w:rsidP="00A32DCD">
      <w:pPr>
        <w:pStyle w:val="ListParagraph"/>
        <w:numPr>
          <w:ilvl w:val="1"/>
          <w:numId w:val="22"/>
        </w:numPr>
        <w:jc w:val="both"/>
      </w:pPr>
      <w:r>
        <w:t>Physical activity: guidelines for specific population groups</w:t>
      </w:r>
      <w:r w:rsidR="00F47763">
        <w:t>.</w:t>
      </w:r>
    </w:p>
    <w:p w:rsidR="00A32DCD" w:rsidRDefault="00A32DCD" w:rsidP="005A6194">
      <w:pPr>
        <w:pStyle w:val="ListParagraph"/>
        <w:numPr>
          <w:ilvl w:val="1"/>
          <w:numId w:val="22"/>
        </w:numPr>
        <w:jc w:val="both"/>
      </w:pPr>
      <w:r w:rsidRPr="00A32DCD">
        <w:t xml:space="preserve">Call for proposals on the “lifelong approach to healthy lifestyles”. </w:t>
      </w:r>
      <w:r>
        <w:t>Commission to w</w:t>
      </w:r>
      <w:r w:rsidRPr="00A32DCD">
        <w:t>ork with universities</w:t>
      </w:r>
      <w:r>
        <w:t xml:space="preserve"> and Member States</w:t>
      </w:r>
      <w:r w:rsidRPr="00A32DCD">
        <w:t xml:space="preserve"> to focus on prevention and promotion. </w:t>
      </w:r>
    </w:p>
    <w:p w:rsidR="00955466" w:rsidRDefault="00955466" w:rsidP="001A4208">
      <w:pPr>
        <w:jc w:val="both"/>
      </w:pPr>
    </w:p>
    <w:p w:rsidR="00955466" w:rsidRDefault="001A4208" w:rsidP="001A4208">
      <w:pPr>
        <w:jc w:val="both"/>
      </w:pPr>
      <w:r>
        <w:t>The Commission also reported that t</w:t>
      </w:r>
      <w:r w:rsidR="00B02B24">
        <w:t>he</w:t>
      </w:r>
      <w:r w:rsidR="00177C4A">
        <w:t xml:space="preserve"> High Level Group </w:t>
      </w:r>
      <w:r>
        <w:t xml:space="preserve">has </w:t>
      </w:r>
      <w:r w:rsidR="00177C4A">
        <w:t>asked to bring to the attention of the EU Platf</w:t>
      </w:r>
      <w:r w:rsidR="00955466">
        <w:t>orm two issues in particular:</w:t>
      </w:r>
      <w:r>
        <w:t xml:space="preserve"> </w:t>
      </w:r>
    </w:p>
    <w:p w:rsidR="00955466" w:rsidRDefault="00573151" w:rsidP="00955466">
      <w:pPr>
        <w:pStyle w:val="ListParagraph"/>
        <w:numPr>
          <w:ilvl w:val="0"/>
          <w:numId w:val="23"/>
        </w:numPr>
        <w:jc w:val="both"/>
      </w:pPr>
      <w:r>
        <w:t>The HLG</w:t>
      </w:r>
      <w:r w:rsidR="00177C4A">
        <w:t xml:space="preserve"> called on EU Platform to act to ensure that children </w:t>
      </w:r>
      <w:r w:rsidR="001A4208">
        <w:t xml:space="preserve">are </w:t>
      </w:r>
      <w:r w:rsidR="00177C4A">
        <w:t>better protected</w:t>
      </w:r>
      <w:r w:rsidR="001A4208">
        <w:t xml:space="preserve"> from advertising of food high in fat, sugar and salt</w:t>
      </w:r>
      <w:r w:rsidR="00177C4A">
        <w:t xml:space="preserve">. </w:t>
      </w:r>
    </w:p>
    <w:p w:rsidR="001A4208" w:rsidRDefault="00177C4A" w:rsidP="00955466">
      <w:pPr>
        <w:pStyle w:val="ListParagraph"/>
        <w:numPr>
          <w:ilvl w:val="0"/>
          <w:numId w:val="23"/>
        </w:numPr>
        <w:jc w:val="both"/>
      </w:pPr>
      <w:r>
        <w:t>In the context of the work of the work</w:t>
      </w:r>
      <w:r w:rsidR="001A4208">
        <w:t>ing groups on reformulations, the HLG</w:t>
      </w:r>
      <w:r>
        <w:t xml:space="preserve"> called on EU Platform members to share with public authorities data on product composition and market share. </w:t>
      </w:r>
    </w:p>
    <w:p w:rsidR="001A4208" w:rsidRDefault="001A4208" w:rsidP="001A4208">
      <w:pPr>
        <w:jc w:val="both"/>
      </w:pPr>
    </w:p>
    <w:p w:rsidR="001A4208" w:rsidRDefault="001A4208" w:rsidP="001A4208">
      <w:pPr>
        <w:jc w:val="both"/>
      </w:pPr>
      <w:r>
        <w:t>Finally</w:t>
      </w:r>
      <w:r w:rsidR="00955466">
        <w:t>,</w:t>
      </w:r>
      <w:r>
        <w:t xml:space="preserve"> the Commission praised the readiness of sector associations</w:t>
      </w:r>
      <w:r w:rsidR="00955466">
        <w:t xml:space="preserve"> (</w:t>
      </w:r>
      <w:r w:rsidR="00955466" w:rsidRPr="00955466">
        <w:rPr>
          <w:i/>
        </w:rPr>
        <w:t xml:space="preserve">“Even sectors that haven’t been easy to talk to </w:t>
      </w:r>
      <w:r w:rsidR="00955466">
        <w:rPr>
          <w:i/>
        </w:rPr>
        <w:t>at the beginning</w:t>
      </w:r>
      <w:r w:rsidR="00955466" w:rsidRPr="00955466">
        <w:rPr>
          <w:i/>
        </w:rPr>
        <w:t>”</w:t>
      </w:r>
      <w:r w:rsidR="00955466">
        <w:t>)</w:t>
      </w:r>
      <w:r>
        <w:t xml:space="preserve"> to commit to reformulation initiatives. </w:t>
      </w:r>
    </w:p>
    <w:p w:rsidR="003741DF" w:rsidRDefault="003741DF" w:rsidP="003741DF"/>
    <w:p w:rsidR="00551EEF" w:rsidRPr="00D9463C" w:rsidRDefault="00551EEF" w:rsidP="00D9463C">
      <w:pPr>
        <w:jc w:val="both"/>
      </w:pPr>
      <w:r w:rsidRPr="00551EEF">
        <w:rPr>
          <w:b/>
        </w:rPr>
        <w:t>FoodServiceEurope</w:t>
      </w:r>
      <w:r>
        <w:rPr>
          <w:b/>
        </w:rPr>
        <w:t xml:space="preserve"> </w:t>
      </w:r>
      <w:r w:rsidR="00D9463C">
        <w:t>enquired about the mid-term review of the EU Action Plan</w:t>
      </w:r>
      <w:r w:rsidR="00CD41BD">
        <w:t xml:space="preserve"> on</w:t>
      </w:r>
      <w:r w:rsidR="00D9463C">
        <w:t xml:space="preserve"> </w:t>
      </w:r>
      <w:r w:rsidR="00CD41BD">
        <w:t>Childhood Obesity 2014-2020</w:t>
      </w:r>
      <w:r w:rsidR="00955466">
        <w:t>,</w:t>
      </w:r>
      <w:r w:rsidR="00CD41BD">
        <w:t xml:space="preserve"> </w:t>
      </w:r>
      <w:r w:rsidR="00D9463C">
        <w:t>which was due in mid-February</w:t>
      </w:r>
      <w:r w:rsidR="00955466">
        <w:t>, and commented on the public procurement guidelines developed by the Commission and the Maltese Presidency</w:t>
      </w:r>
      <w:r w:rsidR="00D9463C">
        <w:t xml:space="preserve">. They regretted </w:t>
      </w:r>
      <w:r w:rsidR="00955466">
        <w:t>the fact that the Commission had</w:t>
      </w:r>
      <w:r w:rsidR="00D9463C">
        <w:t xml:space="preserve"> given a </w:t>
      </w:r>
      <w:r w:rsidR="00955466">
        <w:t xml:space="preserve">too </w:t>
      </w:r>
      <w:r w:rsidR="00D9463C">
        <w:t>short deadline to comment on the guidelines for public procurement of fo</w:t>
      </w:r>
      <w:r w:rsidR="00BB5C0F">
        <w:t xml:space="preserve">od in schools and that the industry was consulted only at a late stage of the process. </w:t>
      </w:r>
      <w:r w:rsidR="006876B3">
        <w:t xml:space="preserve">FoodServiceEurope also expressed concerns about the “best practices” approach used in the document to identify technical specifications for nutrients and </w:t>
      </w:r>
      <w:r w:rsidR="001D1C82">
        <w:t>food categories.</w:t>
      </w:r>
    </w:p>
    <w:p w:rsidR="003741DF" w:rsidRDefault="003741DF" w:rsidP="003741DF"/>
    <w:p w:rsidR="00E02F55" w:rsidRDefault="003741DF" w:rsidP="00E02F55">
      <w:pPr>
        <w:jc w:val="both"/>
      </w:pPr>
      <w:r w:rsidRPr="00E02F55">
        <w:rPr>
          <w:b/>
        </w:rPr>
        <w:t>IBFAN</w:t>
      </w:r>
      <w:r w:rsidR="00E02F55">
        <w:rPr>
          <w:b/>
        </w:rPr>
        <w:t xml:space="preserve"> </w:t>
      </w:r>
      <w:r w:rsidR="00E02F55">
        <w:t xml:space="preserve">noted that data on reformulation shows a gap in the baby food category, where it is not known what is in the product. </w:t>
      </w:r>
      <w:r w:rsidR="00955466">
        <w:t xml:space="preserve">The </w:t>
      </w:r>
      <w:r w:rsidR="00955466" w:rsidRPr="00955466">
        <w:rPr>
          <w:b/>
        </w:rPr>
        <w:t>Commission</w:t>
      </w:r>
      <w:r w:rsidR="00955466">
        <w:t xml:space="preserve"> confirmed that IBFAN’s comments on the Romanian law on infant feeding were transmitted to the High Level Group.</w:t>
      </w:r>
    </w:p>
    <w:p w:rsidR="00E02F55" w:rsidRDefault="00E02F55" w:rsidP="003741DF"/>
    <w:p w:rsidR="00955466" w:rsidRDefault="00E02F55" w:rsidP="00955466">
      <w:pPr>
        <w:jc w:val="both"/>
      </w:pPr>
      <w:r w:rsidRPr="00E02F55">
        <w:rPr>
          <w:b/>
        </w:rPr>
        <w:t xml:space="preserve">FoodDrinkEurope </w:t>
      </w:r>
      <w:r>
        <w:t xml:space="preserve">supported the comments made by FoodServiceEurope </w:t>
      </w:r>
      <w:r w:rsidR="00626D77">
        <w:t>regarding</w:t>
      </w:r>
      <w:r>
        <w:t xml:space="preserve"> the guidelines for public procurement of food in schools. It reiterated t</w:t>
      </w:r>
      <w:r w:rsidR="00626D77">
        <w:t>he need to</w:t>
      </w:r>
      <w:r>
        <w:t xml:space="preserve"> carry out dietary sur</w:t>
      </w:r>
      <w:r w:rsidR="006C7915">
        <w:t xml:space="preserve">veys to </w:t>
      </w:r>
      <w:r w:rsidR="000733F1">
        <w:t>monitor</w:t>
      </w:r>
      <w:r w:rsidR="006C7915">
        <w:t xml:space="preserve"> </w:t>
      </w:r>
      <w:r w:rsidR="005151FE">
        <w:t>the work on reformulation</w:t>
      </w:r>
      <w:r w:rsidR="00955466">
        <w:t>, asking the Commission and HLG not to close the door but instead find workable solutions</w:t>
      </w:r>
      <w:r w:rsidR="006C7915">
        <w:t>.</w:t>
      </w:r>
      <w:r w:rsidR="00955466">
        <w:t xml:space="preserve"> FoodDrinkEurope also asked what the European Commission foresees in its budget 2017 to support the EU Platform, e.g. support for companies to help them overcome barriers to reformulation.</w:t>
      </w:r>
      <w:r w:rsidR="006C7915">
        <w:t xml:space="preserve"> </w:t>
      </w:r>
      <w:r w:rsidR="00955466">
        <w:t xml:space="preserve">The </w:t>
      </w:r>
      <w:r w:rsidR="00955466" w:rsidRPr="00955466">
        <w:rPr>
          <w:b/>
        </w:rPr>
        <w:t>European Commission</w:t>
      </w:r>
      <w:r w:rsidR="00955466">
        <w:t xml:space="preserve"> responded that DG SANTE had provided input to DG Research and Innovation to ask for a focus of research projects related to reformulation.</w:t>
      </w:r>
    </w:p>
    <w:p w:rsidR="00E02F55" w:rsidRPr="00E02F55" w:rsidRDefault="00E02F55" w:rsidP="00E02F55">
      <w:pPr>
        <w:jc w:val="both"/>
      </w:pPr>
    </w:p>
    <w:p w:rsidR="00955466" w:rsidRDefault="00955466" w:rsidP="00955466">
      <w:pPr>
        <w:jc w:val="both"/>
      </w:pPr>
      <w:r>
        <w:t xml:space="preserve">The </w:t>
      </w:r>
      <w:r w:rsidRPr="007E4A6E">
        <w:rPr>
          <w:b/>
        </w:rPr>
        <w:t>European Commission</w:t>
      </w:r>
      <w:r>
        <w:t xml:space="preserve"> informed Platform members that the </w:t>
      </w:r>
      <w:r w:rsidRPr="00CD41BD">
        <w:t>EU Action Plan on Childhood Obesity</w:t>
      </w:r>
      <w:r>
        <w:t xml:space="preserve"> 2014-2020 was discussed at a technical meeting organized by the Maltese Presidency on 1-2 December 2016 in Malta and at the meeting of the High Level Group on 8 March 2017, but did not give any further details.  </w:t>
      </w:r>
    </w:p>
    <w:p w:rsidR="007C2DBB" w:rsidRDefault="00955466" w:rsidP="00320574">
      <w:pPr>
        <w:jc w:val="both"/>
      </w:pPr>
      <w:r>
        <w:t xml:space="preserve">In relation to the guidelines on public procurement of food in schools, the Commission acknowledged the fact that the deadline was short. It added that the guidelines are conceived as a “living document” to be amended and adjusted to reflect developments and emerging good practice. The Commission stated that they have considered the majority of the comments submitted by stakeholders. The document to be finalised in 2017 should be the “perfected” version. </w:t>
      </w:r>
    </w:p>
    <w:p w:rsidR="003741DF" w:rsidRDefault="003741DF" w:rsidP="003741DF"/>
    <w:p w:rsidR="007E4A6E" w:rsidRPr="00075AB9" w:rsidRDefault="007E4A6E" w:rsidP="007E4A6E">
      <w:pPr>
        <w:pStyle w:val="ListParagraph"/>
        <w:numPr>
          <w:ilvl w:val="0"/>
          <w:numId w:val="17"/>
        </w:numPr>
        <w:rPr>
          <w:b/>
          <w:u w:val="single"/>
        </w:rPr>
      </w:pPr>
      <w:r w:rsidRPr="00075AB9">
        <w:rPr>
          <w:b/>
          <w:u w:val="single"/>
        </w:rPr>
        <w:t>Promoting healthier diets through evolved nutrition labelling – The Coca-Cola Company, Mars, Mondelez, Nestl</w:t>
      </w:r>
      <w:r w:rsidR="00955466">
        <w:rPr>
          <w:rFonts w:cs="Arial"/>
          <w:b/>
          <w:u w:val="single"/>
        </w:rPr>
        <w:t>é</w:t>
      </w:r>
      <w:r w:rsidRPr="00075AB9">
        <w:rPr>
          <w:b/>
          <w:u w:val="single"/>
        </w:rPr>
        <w:t>, PepsiCo and Unilever</w:t>
      </w:r>
    </w:p>
    <w:p w:rsidR="007E4A6E" w:rsidRDefault="007E4A6E" w:rsidP="007E4A6E"/>
    <w:p w:rsidR="00A1323E" w:rsidRPr="00E102CF" w:rsidRDefault="00955466" w:rsidP="008C2566">
      <w:pPr>
        <w:jc w:val="both"/>
      </w:pPr>
      <w:r>
        <w:t>A</w:t>
      </w:r>
      <w:r w:rsidR="007E4A6E">
        <w:t xml:space="preserve"> group of six companies </w:t>
      </w:r>
      <w:r>
        <w:t>–</w:t>
      </w:r>
      <w:r w:rsidR="007E4A6E" w:rsidRPr="007E4A6E">
        <w:t xml:space="preserve"> </w:t>
      </w:r>
      <w:r>
        <w:t xml:space="preserve">The </w:t>
      </w:r>
      <w:r w:rsidR="007E4A6E" w:rsidRPr="007E4A6E">
        <w:t>Coca-Cola Company, Mars, Mondelez, Nestl</w:t>
      </w:r>
      <w:r>
        <w:rPr>
          <w:rFonts w:cs="Arial"/>
        </w:rPr>
        <w:t>é</w:t>
      </w:r>
      <w:r w:rsidR="007E4A6E" w:rsidRPr="007E4A6E">
        <w:t>, PepsiCo and Unilever</w:t>
      </w:r>
      <w:r>
        <w:t xml:space="preserve"> –</w:t>
      </w:r>
      <w:r w:rsidR="007E4A6E">
        <w:t xml:space="preserve"> </w:t>
      </w:r>
      <w:hyperlink r:id="rId15" w:history="1">
        <w:r w:rsidR="008C2566" w:rsidRPr="008C2566">
          <w:rPr>
            <w:rStyle w:val="Hyperlink"/>
          </w:rPr>
          <w:t>presented</w:t>
        </w:r>
      </w:hyperlink>
      <w:r w:rsidR="008C2566">
        <w:t xml:space="preserve"> their proposal for an evolved nutrition labelling</w:t>
      </w:r>
      <w:r w:rsidR="000E1205">
        <w:t xml:space="preserve"> scheme </w:t>
      </w:r>
      <w:r>
        <w:t xml:space="preserve">to be voluntary applied </w:t>
      </w:r>
      <w:r w:rsidR="008C2566">
        <w:t>across the EU market. The labelling scheme would combine Reference Intakes with colour coding and would be based on portions rather than 100gr/ml (as the UK traffic light system)</w:t>
      </w:r>
      <w:r w:rsidR="00DA47FA">
        <w:t xml:space="preserve"> to better reflect </w:t>
      </w:r>
      <w:r w:rsidR="003B5F6C">
        <w:t xml:space="preserve">real </w:t>
      </w:r>
      <w:r w:rsidR="00DA47FA">
        <w:t>consumption</w:t>
      </w:r>
      <w:r w:rsidR="008C2566">
        <w:t>. The scheme</w:t>
      </w:r>
      <w:r>
        <w:t xml:space="preserve"> was presented as a response to</w:t>
      </w:r>
      <w:r w:rsidR="008C2566">
        <w:t xml:space="preserve"> consumer and stakeholders’</w:t>
      </w:r>
      <w:r w:rsidR="00AC6201">
        <w:t xml:space="preserve"> requests</w:t>
      </w:r>
      <w:r w:rsidR="008C2566">
        <w:t xml:space="preserve"> for an interpretative front-of-pack</w:t>
      </w:r>
      <w:r>
        <w:t xml:space="preserve"> labelling scheme</w:t>
      </w:r>
      <w:r w:rsidR="00A1323E">
        <w:t>.</w:t>
      </w:r>
      <w:r w:rsidR="00E102CF" w:rsidRPr="00E102CF">
        <w:t xml:space="preserve"> </w:t>
      </w:r>
      <w:r w:rsidR="00E102CF">
        <w:t>The companies proposed to set up a task force to further discuss and fine-tune the scheme; this would consist of three layers: company nutritionists, expert stakeholders, and a broader group of stakeholders, incl. the EU Platform.</w:t>
      </w:r>
    </w:p>
    <w:p w:rsidR="00955466" w:rsidRDefault="00955466" w:rsidP="008C2566">
      <w:pPr>
        <w:jc w:val="both"/>
      </w:pPr>
    </w:p>
    <w:p w:rsidR="008C2566" w:rsidRDefault="00A1323E" w:rsidP="008C2566">
      <w:pPr>
        <w:jc w:val="both"/>
      </w:pPr>
      <w:r>
        <w:t xml:space="preserve">Contrary to a colour-coded </w:t>
      </w:r>
      <w:r w:rsidR="00AF2CE5">
        <w:t>scheme</w:t>
      </w:r>
      <w:r>
        <w:t xml:space="preserve"> based on quantities of 100 gr/ml, </w:t>
      </w:r>
      <w:r w:rsidR="00F04152">
        <w:t xml:space="preserve">the companies explained that </w:t>
      </w:r>
      <w:r>
        <w:t xml:space="preserve">a portion-based scheme </w:t>
      </w:r>
      <w:r w:rsidR="00DA47FA">
        <w:t xml:space="preserve">would incentivize reformulation and the development of smaller portions. </w:t>
      </w:r>
    </w:p>
    <w:p w:rsidR="00301F87" w:rsidRDefault="00301F87" w:rsidP="008C2566">
      <w:pPr>
        <w:jc w:val="both"/>
      </w:pPr>
    </w:p>
    <w:p w:rsidR="008C2566" w:rsidRDefault="0045727C" w:rsidP="008C2566">
      <w:pPr>
        <w:jc w:val="both"/>
      </w:pPr>
      <w:r>
        <w:t xml:space="preserve">The representative from </w:t>
      </w:r>
      <w:r w:rsidRPr="0045727C">
        <w:rPr>
          <w:b/>
        </w:rPr>
        <w:t>France</w:t>
      </w:r>
      <w:r w:rsidR="0070566C">
        <w:rPr>
          <w:b/>
        </w:rPr>
        <w:t xml:space="preserve"> </w:t>
      </w:r>
      <w:r w:rsidR="00D10322">
        <w:t xml:space="preserve">described </w:t>
      </w:r>
      <w:r w:rsidR="00301F87">
        <w:t>work done</w:t>
      </w:r>
      <w:r w:rsidR="00D10322">
        <w:t xml:space="preserve"> by the French government to assess which front-of-pack labelling scheme would improve the nutritional quality of the food basket. </w:t>
      </w:r>
      <w:r w:rsidR="000A143A">
        <w:t>Four</w:t>
      </w:r>
      <w:r w:rsidR="00D10322">
        <w:t xml:space="preserve"> front-of-pack labelling scheme have been tested in real market conditions between September and December 2016 in </w:t>
      </w:r>
      <w:r w:rsidR="00EE44F9">
        <w:t>France</w:t>
      </w:r>
      <w:r w:rsidR="00D10322">
        <w:t xml:space="preserve">. The results of the test will be published in the next weeks. He </w:t>
      </w:r>
      <w:r w:rsidR="00DD6A76">
        <w:t>expressed</w:t>
      </w:r>
      <w:r w:rsidR="00E102CF">
        <w:t xml:space="preserve"> to be</w:t>
      </w:r>
      <w:r w:rsidR="00DD6A76">
        <w:t xml:space="preserve"> </w:t>
      </w:r>
      <w:r w:rsidR="00E102CF">
        <w:t>surprised</w:t>
      </w:r>
      <w:r w:rsidR="00DD6A76">
        <w:t xml:space="preserve"> </w:t>
      </w:r>
      <w:r w:rsidR="00E102CF">
        <w:t>that</w:t>
      </w:r>
      <w:r w:rsidR="00995F69">
        <w:t xml:space="preserve"> the </w:t>
      </w:r>
      <w:r w:rsidR="00D10322">
        <w:t>proposal</w:t>
      </w:r>
      <w:r w:rsidR="00995F69">
        <w:t xml:space="preserve"> for an evolved nutrition labelling</w:t>
      </w:r>
      <w:r w:rsidR="00E102CF">
        <w:t xml:space="preserve"> by the six companies</w:t>
      </w:r>
      <w:r w:rsidR="00D10322">
        <w:t xml:space="preserve"> came ahead of the results of the French testing. </w:t>
      </w:r>
      <w:r w:rsidR="00995F69">
        <w:t xml:space="preserve">He also </w:t>
      </w:r>
      <w:r w:rsidR="00DD6A76">
        <w:t>pointed at the contradiction between the evolved nutrition labelling</w:t>
      </w:r>
      <w:r w:rsidR="005A03E6">
        <w:t xml:space="preserve"> proposal and the fact that some companies have</w:t>
      </w:r>
      <w:r w:rsidR="00DD6A76">
        <w:t xml:space="preserve"> previously </w:t>
      </w:r>
      <w:r w:rsidR="005A03E6">
        <w:t>shown</w:t>
      </w:r>
      <w:r w:rsidR="00DD6A76">
        <w:t xml:space="preserve"> reluctance to accept a colo</w:t>
      </w:r>
      <w:r w:rsidR="00E102CF">
        <w:t>u</w:t>
      </w:r>
      <w:r w:rsidR="00DD6A76">
        <w:t>r-coded labelling scheme.</w:t>
      </w:r>
      <w:r w:rsidR="00E102CF">
        <w:t xml:space="preserve"> Finally, the representative said that labelling schemes should not increase social inequalities.</w:t>
      </w:r>
    </w:p>
    <w:p w:rsidR="00DD6A76" w:rsidRDefault="00DD6A76" w:rsidP="008C2566">
      <w:pPr>
        <w:jc w:val="both"/>
      </w:pPr>
    </w:p>
    <w:p w:rsidR="003741DF" w:rsidRDefault="00CE6C8F" w:rsidP="00CE6C8F">
      <w:pPr>
        <w:jc w:val="both"/>
      </w:pPr>
      <w:r w:rsidRPr="00CE6C8F">
        <w:rPr>
          <w:b/>
        </w:rPr>
        <w:lastRenderedPageBreak/>
        <w:t>Copa-Cogeca</w:t>
      </w:r>
      <w:r>
        <w:t xml:space="preserve"> expressed doubts about the possibility to reformulate some type of products, such as butter. It added that products whose consumption is recommended by dietary guidelines as part of a healthy diet should be exempted from this kind of labelling. </w:t>
      </w:r>
    </w:p>
    <w:p w:rsidR="00CE6C8F" w:rsidRDefault="00CE6C8F" w:rsidP="00CE6C8F">
      <w:pPr>
        <w:jc w:val="both"/>
      </w:pPr>
    </w:p>
    <w:p w:rsidR="003741DF" w:rsidRDefault="00CE6C8F" w:rsidP="00CE6C8F">
      <w:pPr>
        <w:jc w:val="both"/>
      </w:pPr>
      <w:r w:rsidRPr="008D08EF">
        <w:rPr>
          <w:b/>
        </w:rPr>
        <w:t>FoodDrinkEurope</w:t>
      </w:r>
      <w:r>
        <w:t xml:space="preserve"> </w:t>
      </w:r>
      <w:r w:rsidR="00E102CF">
        <w:t>clarified its position, noting the European approach of this initiative, the fact that it builds on the Reference Intakes scheme and that it takes a portion approach; at the same time, FoodDrinkEurope and the majority of its members remain at this stage not favourable to colour-coding</w:t>
      </w:r>
      <w:r w:rsidR="00EB48FE">
        <w:t>.</w:t>
      </w:r>
      <w:r w:rsidR="00E102CF">
        <w:t xml:space="preserve"> A</w:t>
      </w:r>
      <w:r w:rsidR="006578F5">
        <w:t>ny nutritional labelling scheme must be based on sound science</w:t>
      </w:r>
      <w:r w:rsidR="00E102CF">
        <w:t xml:space="preserve"> and must be evaluated as to its objectives</w:t>
      </w:r>
      <w:r w:rsidR="006578F5">
        <w:t>. Finally</w:t>
      </w:r>
      <w:r w:rsidR="006C29A2">
        <w:t>,</w:t>
      </w:r>
      <w:r w:rsidR="006578F5">
        <w:t xml:space="preserve"> </w:t>
      </w:r>
      <w:r w:rsidR="00E102CF">
        <w:t>FoodDrinkEurope</w:t>
      </w:r>
      <w:r w:rsidR="006578F5">
        <w:t xml:space="preserve"> underlined the importance of improving nutrition literacy</w:t>
      </w:r>
      <w:r w:rsidR="001C65C6">
        <w:t xml:space="preserve"> (incl. attention + motivation to look at nutrition labels)</w:t>
      </w:r>
      <w:r w:rsidR="006578F5">
        <w:t xml:space="preserve"> among consumers</w:t>
      </w:r>
      <w:r w:rsidR="00E102CF">
        <w:t xml:space="preserve"> as a first important step and indicated to be willing to engage in further discussions with stakeholders on this topic</w:t>
      </w:r>
      <w:r w:rsidR="006578F5">
        <w:t xml:space="preserve">. </w:t>
      </w:r>
    </w:p>
    <w:p w:rsidR="003741DF" w:rsidRDefault="003741DF" w:rsidP="003741DF"/>
    <w:p w:rsidR="00E102CF" w:rsidRDefault="00C311F7" w:rsidP="00225D2A">
      <w:pPr>
        <w:jc w:val="both"/>
      </w:pPr>
      <w:r w:rsidRPr="00C311F7">
        <w:rPr>
          <w:b/>
        </w:rPr>
        <w:t xml:space="preserve">EuroHealthNet </w:t>
      </w:r>
      <w:r w:rsidR="00225D2A">
        <w:t>welcomed the i</w:t>
      </w:r>
      <w:r w:rsidR="004F352C">
        <w:t xml:space="preserve">nitiative </w:t>
      </w:r>
      <w:r w:rsidR="00725C12">
        <w:t>and</w:t>
      </w:r>
      <w:r w:rsidR="004F352C">
        <w:t xml:space="preserve"> made two remarks</w:t>
      </w:r>
      <w:r w:rsidR="00E102CF">
        <w:t xml:space="preserve">: </w:t>
      </w:r>
    </w:p>
    <w:p w:rsidR="00E102CF" w:rsidRDefault="00E102CF" w:rsidP="00E102CF">
      <w:pPr>
        <w:ind w:left="708"/>
        <w:jc w:val="both"/>
      </w:pPr>
      <w:r>
        <w:t>1)</w:t>
      </w:r>
      <w:r w:rsidR="004F352C">
        <w:t xml:space="preserve"> </w:t>
      </w:r>
      <w:r>
        <w:t>I</w:t>
      </w:r>
      <w:r w:rsidR="004F352C">
        <w:t xml:space="preserve">t </w:t>
      </w:r>
      <w:r w:rsidR="00A36740">
        <w:t>noted that</w:t>
      </w:r>
      <w:r w:rsidR="00225D2A">
        <w:t xml:space="preserve"> the use of health claims on products </w:t>
      </w:r>
      <w:r w:rsidR="004F352C">
        <w:t xml:space="preserve">bearing </w:t>
      </w:r>
      <w:r w:rsidR="00725C12">
        <w:t xml:space="preserve">a </w:t>
      </w:r>
      <w:r w:rsidR="00225D2A">
        <w:t xml:space="preserve">red </w:t>
      </w:r>
      <w:r w:rsidR="004F352C">
        <w:t xml:space="preserve">label </w:t>
      </w:r>
      <w:r w:rsidR="00225D2A">
        <w:t>would be misleading and therefore should be prevented</w:t>
      </w:r>
      <w:r>
        <w:t xml:space="preserve">; </w:t>
      </w:r>
    </w:p>
    <w:p w:rsidR="00C311F7" w:rsidRPr="00C311F7" w:rsidRDefault="00E102CF" w:rsidP="00E102CF">
      <w:pPr>
        <w:ind w:left="708"/>
        <w:jc w:val="both"/>
      </w:pPr>
      <w:r>
        <w:t>2)</w:t>
      </w:r>
      <w:r w:rsidR="00225D2A">
        <w:t xml:space="preserve"> </w:t>
      </w:r>
      <w:r w:rsidR="004F352C">
        <w:t xml:space="preserve">In relation to the assumption that the evolved labelling scheme would incentivize reformulation, it pointed to the </w:t>
      </w:r>
      <w:r w:rsidR="00CF1AFC">
        <w:t xml:space="preserve">need of </w:t>
      </w:r>
      <w:r w:rsidR="00725C12">
        <w:t>ensuring that portion reduction</w:t>
      </w:r>
      <w:r w:rsidR="00CF1AFC">
        <w:t xml:space="preserve"> corresponds to a price decrease. </w:t>
      </w:r>
    </w:p>
    <w:p w:rsidR="003741DF" w:rsidRDefault="003741DF" w:rsidP="003741DF"/>
    <w:p w:rsidR="00864275" w:rsidRDefault="00636959" w:rsidP="00864275">
      <w:pPr>
        <w:jc w:val="both"/>
      </w:pPr>
      <w:r>
        <w:rPr>
          <w:b/>
        </w:rPr>
        <w:t>The European Consumers’ Organisation (</w:t>
      </w:r>
      <w:r w:rsidR="00864275" w:rsidRPr="00864275">
        <w:rPr>
          <w:b/>
        </w:rPr>
        <w:t>BEUC</w:t>
      </w:r>
      <w:r>
        <w:rPr>
          <w:b/>
        </w:rPr>
        <w:t>)</w:t>
      </w:r>
      <w:r w:rsidR="00864275">
        <w:t xml:space="preserve"> </w:t>
      </w:r>
      <w:r w:rsidR="00E102CF">
        <w:t xml:space="preserve">welcomed the move towards colour-coding, but </w:t>
      </w:r>
      <w:r w:rsidR="00864275">
        <w:t xml:space="preserve">stated that </w:t>
      </w:r>
      <w:r w:rsidR="001C65C6">
        <w:t>the focus on portions (as opposed to per 100g/ml) is of concern</w:t>
      </w:r>
      <w:r w:rsidR="00864275">
        <w:t>.</w:t>
      </w:r>
      <w:r w:rsidR="001C65C6">
        <w:t xml:space="preserve"> There may be a risk that this is seen as an attempt to increase the ‘ambers’ and ‘greens’ in traffic light labelling.</w:t>
      </w:r>
      <w:r w:rsidR="00864275">
        <w:t xml:space="preserve"> </w:t>
      </w:r>
    </w:p>
    <w:p w:rsidR="00864275" w:rsidRDefault="00864275" w:rsidP="003741DF"/>
    <w:p w:rsidR="003741DF" w:rsidRDefault="00686FBB" w:rsidP="00686FBB">
      <w:pPr>
        <w:jc w:val="both"/>
      </w:pPr>
      <w:r>
        <w:t xml:space="preserve">The </w:t>
      </w:r>
      <w:r w:rsidRPr="00686FBB">
        <w:rPr>
          <w:b/>
        </w:rPr>
        <w:t>European Heart Network (EHN)</w:t>
      </w:r>
      <w:r>
        <w:t xml:space="preserve"> welcomed the initiative but noticed that there is no evidence showing that colour coding based on portions can help reduce consumption. </w:t>
      </w:r>
      <w:r w:rsidR="006B0D41">
        <w:t>It</w:t>
      </w:r>
      <w:r>
        <w:t xml:space="preserve"> called for more research on this point. </w:t>
      </w:r>
      <w:r w:rsidR="001C65C6">
        <w:t>It said it understood the frustration expressed by France.</w:t>
      </w:r>
    </w:p>
    <w:p w:rsidR="001C65C6" w:rsidRDefault="001C65C6" w:rsidP="00EC64FB">
      <w:pPr>
        <w:jc w:val="both"/>
      </w:pPr>
    </w:p>
    <w:p w:rsidR="001C65C6" w:rsidRPr="00EC64FB" w:rsidRDefault="001C65C6" w:rsidP="00EC64FB">
      <w:pPr>
        <w:jc w:val="both"/>
      </w:pPr>
      <w:r w:rsidRPr="001C65C6">
        <w:rPr>
          <w:b/>
        </w:rPr>
        <w:t>World Obesity Federation</w:t>
      </w:r>
      <w:r>
        <w:t>, represented by UK’s Children’s Trust, questioned who is to blame that consumers do not understand traffic lights in the UK? Is it the industry that is not educating or is it the government?</w:t>
      </w:r>
    </w:p>
    <w:p w:rsidR="00EC64FB" w:rsidRDefault="00EC64FB" w:rsidP="003741DF"/>
    <w:p w:rsidR="001C65C6" w:rsidRDefault="001C65C6" w:rsidP="0013377D">
      <w:pPr>
        <w:jc w:val="both"/>
      </w:pPr>
      <w:r>
        <w:t>Representatives from the six companies replied to some of the remarks. In reply to the remark made by France, the fact was acknowledged that initially the companies were not in favour of color-coding but they then recognize</w:t>
      </w:r>
      <w:r w:rsidR="00267F3C">
        <w:t>d</w:t>
      </w:r>
      <w:r>
        <w:t xml:space="preserve"> the need to proactively engage in the discussion. </w:t>
      </w:r>
      <w:r w:rsidRPr="001C65C6">
        <w:t>It</w:t>
      </w:r>
      <w:r>
        <w:rPr>
          <w:b/>
        </w:rPr>
        <w:t xml:space="preserve"> </w:t>
      </w:r>
      <w:r w:rsidRPr="0064658F">
        <w:t>was</w:t>
      </w:r>
      <w:r>
        <w:rPr>
          <w:b/>
        </w:rPr>
        <w:t xml:space="preserve"> </w:t>
      </w:r>
      <w:r w:rsidRPr="001C65C6">
        <w:t>also</w:t>
      </w:r>
      <w:r w:rsidRPr="00EC64FB">
        <w:rPr>
          <w:b/>
        </w:rPr>
        <w:t xml:space="preserve"> </w:t>
      </w:r>
      <w:r>
        <w:t xml:space="preserve">reiterated that the task force approach will be inclusive, taking into account input from all the stakeholders. </w:t>
      </w:r>
    </w:p>
    <w:p w:rsidR="001C65C6" w:rsidRDefault="001C65C6" w:rsidP="0013377D">
      <w:pPr>
        <w:jc w:val="both"/>
      </w:pPr>
    </w:p>
    <w:p w:rsidR="001C65C6" w:rsidRPr="001C65C6" w:rsidRDefault="001C65C6" w:rsidP="0013377D">
      <w:pPr>
        <w:jc w:val="both"/>
        <w:rPr>
          <w:b/>
        </w:rPr>
      </w:pPr>
      <w:r>
        <w:t xml:space="preserve">The </w:t>
      </w:r>
      <w:r w:rsidRPr="001C65C6">
        <w:rPr>
          <w:b/>
        </w:rPr>
        <w:t>Platform Chair</w:t>
      </w:r>
      <w:r>
        <w:t xml:space="preserve"> said that the EU Platform is probably the best place for having this discussion and hoped that the six companies would continue the discussion here. </w:t>
      </w:r>
    </w:p>
    <w:p w:rsidR="003741DF" w:rsidRDefault="003741DF" w:rsidP="003741DF"/>
    <w:p w:rsidR="00075AB9" w:rsidRPr="00075AB9" w:rsidRDefault="00075AB9" w:rsidP="00075AB9">
      <w:pPr>
        <w:pStyle w:val="ListParagraph"/>
        <w:numPr>
          <w:ilvl w:val="0"/>
          <w:numId w:val="17"/>
        </w:numPr>
        <w:rPr>
          <w:b/>
          <w:u w:val="single"/>
        </w:rPr>
      </w:pPr>
      <w:r w:rsidRPr="00075AB9">
        <w:rPr>
          <w:b/>
          <w:u w:val="single"/>
        </w:rPr>
        <w:t>Other initiatives to promote healthier diets</w:t>
      </w:r>
    </w:p>
    <w:p w:rsidR="00075AB9" w:rsidRDefault="00075AB9" w:rsidP="00075AB9">
      <w:pPr>
        <w:rPr>
          <w:b/>
        </w:rPr>
      </w:pPr>
    </w:p>
    <w:p w:rsidR="00075AB9" w:rsidRDefault="00075AB9" w:rsidP="00075AB9">
      <w:pPr>
        <w:ind w:left="360"/>
        <w:rPr>
          <w:b/>
        </w:rPr>
      </w:pPr>
      <w:r>
        <w:rPr>
          <w:b/>
        </w:rPr>
        <w:t xml:space="preserve">6.1 Framework for </w:t>
      </w:r>
      <w:r w:rsidR="00A07B7F">
        <w:rPr>
          <w:b/>
        </w:rPr>
        <w:t>commitments</w:t>
      </w:r>
      <w:r>
        <w:rPr>
          <w:b/>
        </w:rPr>
        <w:t>, FoodDrinkEurope</w:t>
      </w:r>
    </w:p>
    <w:p w:rsidR="00075AB9" w:rsidRDefault="00075AB9" w:rsidP="00075AB9">
      <w:pPr>
        <w:ind w:left="360"/>
        <w:rPr>
          <w:b/>
        </w:rPr>
      </w:pPr>
    </w:p>
    <w:p w:rsidR="003741DF" w:rsidRDefault="00075AB9" w:rsidP="00DC46C4">
      <w:pPr>
        <w:ind w:left="360"/>
        <w:jc w:val="both"/>
      </w:pPr>
      <w:r>
        <w:rPr>
          <w:b/>
        </w:rPr>
        <w:t xml:space="preserve">FoodDrinkEurope </w:t>
      </w:r>
      <w:r w:rsidR="00490F7B" w:rsidRPr="00490F7B">
        <w:t>gave</w:t>
      </w:r>
      <w:r w:rsidR="00490F7B">
        <w:t xml:space="preserve"> an </w:t>
      </w:r>
      <w:hyperlink r:id="rId16" w:history="1">
        <w:r w:rsidR="00490F7B" w:rsidRPr="00490F7B">
          <w:rPr>
            <w:rStyle w:val="Hyperlink"/>
          </w:rPr>
          <w:t>overview</w:t>
        </w:r>
      </w:hyperlink>
      <w:r>
        <w:t xml:space="preserve"> </w:t>
      </w:r>
      <w:r w:rsidR="00490F7B">
        <w:t>of FoodDrinkEurope’s framework commitments to the EU</w:t>
      </w:r>
      <w:r w:rsidR="00076A29">
        <w:t xml:space="preserve"> Platform, describing the concept and objectives. It presented the “Eat &amp; Live Well” website and </w:t>
      </w:r>
      <w:r w:rsidR="0007456D">
        <w:t xml:space="preserve">showed some examples of case studies, in particular in the area of responsible marketing and advertising to children. </w:t>
      </w:r>
    </w:p>
    <w:p w:rsidR="00DC46C4" w:rsidRDefault="00DC46C4" w:rsidP="00DC46C4">
      <w:pPr>
        <w:ind w:left="360"/>
        <w:jc w:val="both"/>
      </w:pPr>
    </w:p>
    <w:p w:rsidR="00DC46C4" w:rsidRPr="00DC46C4" w:rsidRDefault="00DC46C4" w:rsidP="00DC46C4">
      <w:pPr>
        <w:ind w:left="360"/>
        <w:jc w:val="both"/>
        <w:rPr>
          <w:b/>
        </w:rPr>
      </w:pPr>
      <w:r w:rsidRPr="00DC46C4">
        <w:rPr>
          <w:b/>
        </w:rPr>
        <w:lastRenderedPageBreak/>
        <w:t>6.2 Engagements in the nutrition and health debate, Caobisco</w:t>
      </w:r>
    </w:p>
    <w:p w:rsidR="00DC46C4" w:rsidRDefault="00DC46C4" w:rsidP="003741DF"/>
    <w:p w:rsidR="001C65C6" w:rsidRDefault="00DC46C4" w:rsidP="001C65C6">
      <w:pPr>
        <w:ind w:left="360" w:hanging="360"/>
        <w:jc w:val="both"/>
      </w:pPr>
      <w:r>
        <w:tab/>
      </w:r>
      <w:r w:rsidRPr="00DC46C4">
        <w:rPr>
          <w:b/>
        </w:rPr>
        <w:t>Caobisco</w:t>
      </w:r>
      <w:r>
        <w:rPr>
          <w:b/>
        </w:rPr>
        <w:t xml:space="preserve"> </w:t>
      </w:r>
      <w:r>
        <w:t xml:space="preserve">presented </w:t>
      </w:r>
      <w:r w:rsidR="000B3724">
        <w:t xml:space="preserve">the </w:t>
      </w:r>
      <w:r>
        <w:t>chocolate, biscuits and confectionery sector</w:t>
      </w:r>
      <w:r w:rsidR="000B3724">
        <w:t xml:space="preserve"> and its contribution</w:t>
      </w:r>
      <w:r>
        <w:t xml:space="preserve"> to the EU Platform. Given the </w:t>
      </w:r>
      <w:r w:rsidR="000B3724">
        <w:t>different product portfolios, the sector’s engagements are implemented through five areas of action. For each area of action</w:t>
      </w:r>
      <w:r w:rsidR="001C65C6">
        <w:t>,</w:t>
      </w:r>
      <w:r w:rsidR="000B3724">
        <w:t xml:space="preserve"> some examples of case studies </w:t>
      </w:r>
      <w:r w:rsidR="00CA291E">
        <w:t xml:space="preserve">were presented. In relation to consumer information, it was clarified that </w:t>
      </w:r>
      <w:r w:rsidR="00420CC7">
        <w:t>Caobisco does not support color-coding labellin</w:t>
      </w:r>
      <w:r w:rsidR="001C65C6">
        <w:t>g;</w:t>
      </w:r>
      <w:r w:rsidR="00420CC7">
        <w:t xml:space="preserve"> however</w:t>
      </w:r>
      <w:r w:rsidR="001C65C6">
        <w:t>,</w:t>
      </w:r>
      <w:r w:rsidR="00420CC7">
        <w:t xml:space="preserve"> it is in favour of a harmonised system across the EU. It also expressed its willingness to be involved in the future work related to the evolved nutrition labelling. </w:t>
      </w:r>
      <w:r w:rsidR="00042E2B">
        <w:t>Finally, it underlined the need to focus on consumer education</w:t>
      </w:r>
      <w:r w:rsidR="002E3DC9">
        <w:t>, public-private partnerships,</w:t>
      </w:r>
      <w:r w:rsidR="00042E2B">
        <w:t xml:space="preserve"> and on leveraging the “nudge” approach. </w:t>
      </w:r>
    </w:p>
    <w:p w:rsidR="001C65C6" w:rsidRDefault="001C65C6" w:rsidP="001C65C6">
      <w:pPr>
        <w:ind w:left="360"/>
        <w:jc w:val="both"/>
        <w:rPr>
          <w:b/>
        </w:rPr>
      </w:pPr>
    </w:p>
    <w:p w:rsidR="001C65C6" w:rsidRDefault="00E65BA3" w:rsidP="001C65C6">
      <w:pPr>
        <w:ind w:left="360"/>
        <w:jc w:val="both"/>
      </w:pPr>
      <w:r>
        <w:t xml:space="preserve">The </w:t>
      </w:r>
      <w:r w:rsidRPr="008C73B2">
        <w:rPr>
          <w:b/>
        </w:rPr>
        <w:t>European Commission</w:t>
      </w:r>
      <w:r>
        <w:t xml:space="preserve"> </w:t>
      </w:r>
      <w:r w:rsidR="008F20AD">
        <w:t xml:space="preserve">noticed that the role of parents is crucial in </w:t>
      </w:r>
      <w:r w:rsidR="008E7540">
        <w:t>shaping</w:t>
      </w:r>
      <w:r w:rsidR="008F20AD">
        <w:t xml:space="preserve"> </w:t>
      </w:r>
      <w:r w:rsidR="008C73B2">
        <w:t>children</w:t>
      </w:r>
      <w:r w:rsidR="008E7540">
        <w:t>’s food choices</w:t>
      </w:r>
      <w:r w:rsidR="008C73B2">
        <w:t xml:space="preserve">. </w:t>
      </w:r>
    </w:p>
    <w:p w:rsidR="001C65C6" w:rsidRDefault="001C65C6" w:rsidP="001C65C6">
      <w:pPr>
        <w:ind w:left="360"/>
        <w:jc w:val="both"/>
      </w:pPr>
    </w:p>
    <w:p w:rsidR="001C65C6" w:rsidRDefault="008C73B2" w:rsidP="001C65C6">
      <w:pPr>
        <w:ind w:left="360"/>
        <w:jc w:val="both"/>
      </w:pPr>
      <w:r>
        <w:t xml:space="preserve">The </w:t>
      </w:r>
      <w:r w:rsidRPr="00C5199F">
        <w:rPr>
          <w:b/>
        </w:rPr>
        <w:t>World Obesity Federation</w:t>
      </w:r>
      <w:r w:rsidR="00FC03F0">
        <w:rPr>
          <w:b/>
        </w:rPr>
        <w:t xml:space="preserve"> (WOF)</w:t>
      </w:r>
      <w:r>
        <w:t xml:space="preserve"> </w:t>
      </w:r>
      <w:r w:rsidR="00384BFC">
        <w:t xml:space="preserve">mentioned an advertisement in the UK magazine “The Grocer” for a product falling </w:t>
      </w:r>
      <w:r w:rsidR="00C5199F">
        <w:t>under</w:t>
      </w:r>
      <w:r w:rsidR="00384BFC">
        <w:t xml:space="preserve"> the “kid sugar category”</w:t>
      </w:r>
      <w:r w:rsidR="003B2E13">
        <w:t>,</w:t>
      </w:r>
      <w:r w:rsidR="00C5199F">
        <w:t xml:space="preserve"> claiming that it was directed to kids. It asked what actions </w:t>
      </w:r>
      <w:r w:rsidR="00B0635E">
        <w:t>a</w:t>
      </w:r>
      <w:r w:rsidR="00C5199F">
        <w:t xml:space="preserve"> sector association</w:t>
      </w:r>
      <w:r w:rsidR="00B0635E">
        <w:t xml:space="preserve"> like Caobisco</w:t>
      </w:r>
      <w:r w:rsidR="00C5199F">
        <w:t xml:space="preserve"> </w:t>
      </w:r>
      <w:r w:rsidR="00B0635E">
        <w:t>would take in this type of case</w:t>
      </w:r>
      <w:r w:rsidR="00C5199F">
        <w:t xml:space="preserve">. Caobisco answered that the Grocer is not a magazine for kids, therefore it is difficult to argue that the advertisement </w:t>
      </w:r>
      <w:r w:rsidR="00B0635E">
        <w:t>is</w:t>
      </w:r>
      <w:r w:rsidR="00C5199F">
        <w:t xml:space="preserve"> targeting </w:t>
      </w:r>
      <w:r w:rsidR="00B0635E">
        <w:t>children</w:t>
      </w:r>
      <w:r w:rsidR="00C5199F">
        <w:t xml:space="preserve">. </w:t>
      </w:r>
    </w:p>
    <w:p w:rsidR="001C65C6" w:rsidRDefault="001C65C6" w:rsidP="001C65C6">
      <w:pPr>
        <w:ind w:left="360"/>
        <w:jc w:val="both"/>
      </w:pPr>
    </w:p>
    <w:p w:rsidR="00C5199F" w:rsidRDefault="00C5199F" w:rsidP="001C65C6">
      <w:pPr>
        <w:ind w:left="360"/>
        <w:jc w:val="both"/>
      </w:pPr>
      <w:r w:rsidRPr="00C5199F">
        <w:rPr>
          <w:b/>
        </w:rPr>
        <w:t>EuroHealthNet</w:t>
      </w:r>
      <w:r>
        <w:t xml:space="preserve"> noted that if the industry claims that informing th</w:t>
      </w:r>
      <w:r w:rsidR="00584EDA">
        <w:t>e consumers is</w:t>
      </w:r>
      <w:r>
        <w:t xml:space="preserve"> their responsibility, then it is important that advertising is ethical and transparent. </w:t>
      </w:r>
    </w:p>
    <w:p w:rsidR="00FC1B70" w:rsidRDefault="00FC1B70" w:rsidP="00FC1B70"/>
    <w:p w:rsidR="00FC1B70" w:rsidRPr="001101D3" w:rsidRDefault="00FC1B70" w:rsidP="00FC1B70">
      <w:pPr>
        <w:pStyle w:val="ListParagraph"/>
        <w:numPr>
          <w:ilvl w:val="0"/>
          <w:numId w:val="17"/>
        </w:numPr>
        <w:rPr>
          <w:b/>
          <w:u w:val="single"/>
        </w:rPr>
      </w:pPr>
      <w:r w:rsidRPr="001101D3">
        <w:rPr>
          <w:b/>
          <w:u w:val="single"/>
        </w:rPr>
        <w:t>Commitments in the area of “Marketing and advertising”</w:t>
      </w:r>
    </w:p>
    <w:p w:rsidR="00FC1B70" w:rsidRDefault="00FC1B70" w:rsidP="00FC1B70"/>
    <w:p w:rsidR="00FC1B70" w:rsidRPr="001101D3" w:rsidRDefault="00FC1B70" w:rsidP="00FC1B70">
      <w:pPr>
        <w:ind w:left="360"/>
        <w:rPr>
          <w:b/>
        </w:rPr>
      </w:pPr>
      <w:r w:rsidRPr="001101D3">
        <w:rPr>
          <w:b/>
        </w:rPr>
        <w:t xml:space="preserve">7.1 State of play of commitments, DG SANTE </w:t>
      </w:r>
    </w:p>
    <w:p w:rsidR="00FC1B70" w:rsidRDefault="00FC1B70" w:rsidP="00FC1B70">
      <w:pPr>
        <w:ind w:left="360"/>
      </w:pPr>
    </w:p>
    <w:p w:rsidR="000129FF" w:rsidRDefault="00FC1B70" w:rsidP="00FC1B70">
      <w:pPr>
        <w:ind w:left="360"/>
        <w:jc w:val="both"/>
      </w:pPr>
      <w:r w:rsidRPr="00FC1B70">
        <w:rPr>
          <w:b/>
        </w:rPr>
        <w:t>DG SANTE</w:t>
      </w:r>
      <w:r>
        <w:t xml:space="preserve"> </w:t>
      </w:r>
      <w:r w:rsidR="0062582A">
        <w:t>provided</w:t>
      </w:r>
      <w:r>
        <w:t xml:space="preserve"> an overview of the state of play of the EU Platform commitments. Six new commitments have been submitted (currently </w:t>
      </w:r>
      <w:r w:rsidR="0062582A">
        <w:t>being evaluated by</w:t>
      </w:r>
      <w:r>
        <w:t xml:space="preserve"> the advisory group), while thirteen have been discontinued. The presentation also showed that education is one of the field</w:t>
      </w:r>
      <w:r w:rsidR="00083C6A">
        <w:t>s</w:t>
      </w:r>
      <w:r>
        <w:t xml:space="preserve"> where most commitments </w:t>
      </w:r>
      <w:r w:rsidR="000129FF">
        <w:t>have been implemented</w:t>
      </w:r>
      <w:r>
        <w:t xml:space="preserve">. </w:t>
      </w:r>
      <w:r w:rsidRPr="000129FF">
        <w:rPr>
          <w:b/>
        </w:rPr>
        <w:t>IBFAN</w:t>
      </w:r>
      <w:r>
        <w:t xml:space="preserve"> made a remark about this </w:t>
      </w:r>
      <w:r w:rsidR="0062582A">
        <w:t xml:space="preserve">last </w:t>
      </w:r>
      <w:r>
        <w:t xml:space="preserve">point, claiming that </w:t>
      </w:r>
      <w:r w:rsidR="000129FF">
        <w:t xml:space="preserve">it would be beneficial to </w:t>
      </w:r>
      <w:r w:rsidR="0062582A">
        <w:t>see less industry action in the area of education</w:t>
      </w:r>
      <w:r w:rsidR="000129FF">
        <w:t xml:space="preserve">. </w:t>
      </w:r>
      <w:r w:rsidR="000129FF">
        <w:rPr>
          <w:b/>
        </w:rPr>
        <w:t xml:space="preserve">FoodDrinkEurope </w:t>
      </w:r>
      <w:r w:rsidR="00511FC3">
        <w:t>pointed out that promoting healthy lifestyle is also part of the category at stake</w:t>
      </w:r>
      <w:r w:rsidR="0062582A">
        <w:t>,</w:t>
      </w:r>
      <w:r w:rsidR="00511FC3">
        <w:t xml:space="preserve"> </w:t>
      </w:r>
      <w:r w:rsidR="004779DD">
        <w:t>as the title of the area indicates</w:t>
      </w:r>
      <w:r w:rsidR="00511FC3">
        <w:t xml:space="preserve"> </w:t>
      </w:r>
      <w:r w:rsidR="004779DD">
        <w:t>(</w:t>
      </w:r>
      <w:r w:rsidR="00511FC3">
        <w:t>“Education, including lifestyle modification”</w:t>
      </w:r>
      <w:r w:rsidR="004779DD">
        <w:t>)</w:t>
      </w:r>
      <w:r w:rsidR="00511FC3">
        <w:t xml:space="preserve">. </w:t>
      </w:r>
    </w:p>
    <w:p w:rsidR="001C65C6" w:rsidRDefault="001C65C6" w:rsidP="00FC1B70">
      <w:pPr>
        <w:ind w:left="360"/>
        <w:jc w:val="both"/>
      </w:pPr>
    </w:p>
    <w:p w:rsidR="00F80FDE" w:rsidRDefault="00511FC3" w:rsidP="00FC1B70">
      <w:pPr>
        <w:ind w:left="360"/>
        <w:jc w:val="both"/>
      </w:pPr>
      <w:r>
        <w:rPr>
          <w:b/>
        </w:rPr>
        <w:t xml:space="preserve">IBFAN </w:t>
      </w:r>
      <w:r w:rsidRPr="00511FC3">
        <w:t>a</w:t>
      </w:r>
      <w:r>
        <w:t>sked the Commission to disaggregate the data on the number of commitment</w:t>
      </w:r>
      <w:r w:rsidR="0062582A">
        <w:t>s</w:t>
      </w:r>
      <w:r>
        <w:t xml:space="preserve"> </w:t>
      </w:r>
      <w:r w:rsidR="0062582A">
        <w:t>fall</w:t>
      </w:r>
      <w:r w:rsidR="00BD1901">
        <w:t>ing</w:t>
      </w:r>
      <w:r w:rsidR="0062582A">
        <w:t xml:space="preserve"> under</w:t>
      </w:r>
      <w:r>
        <w:t xml:space="preserve"> this category</w:t>
      </w:r>
      <w:r w:rsidR="0062582A">
        <w:t>,</w:t>
      </w:r>
      <w:r>
        <w:t xml:space="preserve"> in order to differentiate between education programmes targeting kids and other initiatives. </w:t>
      </w:r>
      <w:r w:rsidR="00F80FDE">
        <w:t xml:space="preserve">It added that industry should limit its commitments to areas which are linked to their core business. The </w:t>
      </w:r>
      <w:r w:rsidR="00F80FDE" w:rsidRPr="00F80FDE">
        <w:rPr>
          <w:b/>
        </w:rPr>
        <w:t>Commission</w:t>
      </w:r>
      <w:r w:rsidR="00F80FDE">
        <w:t xml:space="preserve"> answered that this will be </w:t>
      </w:r>
      <w:r w:rsidR="004779DD">
        <w:t>taken into account for future presentation</w:t>
      </w:r>
      <w:r w:rsidR="0062582A">
        <w:t>s</w:t>
      </w:r>
      <w:r w:rsidR="004779DD">
        <w:t xml:space="preserve"> on the state of play of commitments. </w:t>
      </w:r>
    </w:p>
    <w:p w:rsidR="001101D3" w:rsidRDefault="001101D3" w:rsidP="00FC1B70">
      <w:pPr>
        <w:ind w:left="360"/>
        <w:jc w:val="both"/>
      </w:pPr>
    </w:p>
    <w:p w:rsidR="001101D3" w:rsidRPr="00FD2700" w:rsidRDefault="001101D3" w:rsidP="00FC1B70">
      <w:pPr>
        <w:ind w:left="360"/>
        <w:jc w:val="both"/>
        <w:rPr>
          <w:b/>
        </w:rPr>
      </w:pPr>
      <w:r w:rsidRPr="00FD2700">
        <w:rPr>
          <w:b/>
        </w:rPr>
        <w:t>7.2 Commitments in this area</w:t>
      </w:r>
    </w:p>
    <w:p w:rsidR="001101D3" w:rsidRDefault="001101D3" w:rsidP="00FC1B70">
      <w:pPr>
        <w:ind w:left="360"/>
        <w:jc w:val="both"/>
      </w:pPr>
    </w:p>
    <w:p w:rsidR="001101D3" w:rsidRPr="00FD2700" w:rsidRDefault="001101D3" w:rsidP="001101D3">
      <w:pPr>
        <w:ind w:left="705"/>
        <w:jc w:val="both"/>
        <w:rPr>
          <w:b/>
        </w:rPr>
      </w:pPr>
      <w:r w:rsidRPr="00FD2700">
        <w:rPr>
          <w:b/>
        </w:rPr>
        <w:t>7.2.1 The EU Pledge: monitoring results and next steps, World Federation of Advertisers</w:t>
      </w:r>
    </w:p>
    <w:p w:rsidR="001101D3" w:rsidRDefault="001101D3" w:rsidP="001101D3">
      <w:pPr>
        <w:jc w:val="both"/>
      </w:pPr>
    </w:p>
    <w:p w:rsidR="001101D3" w:rsidRDefault="001101D3" w:rsidP="001101D3">
      <w:pPr>
        <w:ind w:left="720" w:hanging="90"/>
        <w:jc w:val="both"/>
      </w:pPr>
      <w:r>
        <w:tab/>
      </w:r>
      <w:r w:rsidR="0068795B">
        <w:t xml:space="preserve">The </w:t>
      </w:r>
      <w:r w:rsidR="0068795B" w:rsidRPr="0068795B">
        <w:rPr>
          <w:b/>
        </w:rPr>
        <w:t>World Federation of Advertisers</w:t>
      </w:r>
      <w:r w:rsidR="0068795B">
        <w:t xml:space="preserve"> (</w:t>
      </w:r>
      <w:r w:rsidRPr="00032482">
        <w:rPr>
          <w:b/>
        </w:rPr>
        <w:t>WFA</w:t>
      </w:r>
      <w:r w:rsidR="0068795B">
        <w:rPr>
          <w:b/>
        </w:rPr>
        <w:t>)</w:t>
      </w:r>
      <w:r>
        <w:t xml:space="preserve"> made a </w:t>
      </w:r>
      <w:hyperlink r:id="rId17" w:history="1">
        <w:r w:rsidRPr="00D606D9">
          <w:rPr>
            <w:rStyle w:val="Hyperlink"/>
          </w:rPr>
          <w:t>presentation</w:t>
        </w:r>
      </w:hyperlink>
      <w:r>
        <w:t xml:space="preserve"> of the EU Pledge</w:t>
      </w:r>
      <w:r w:rsidR="0068795B">
        <w:t>,</w:t>
      </w:r>
      <w:r>
        <w:t xml:space="preserve"> showing the 2016 monitoring results for TV and digital</w:t>
      </w:r>
      <w:r w:rsidR="00D606D9">
        <w:t xml:space="preserve"> (company-owned websites, company-owned apps, </w:t>
      </w:r>
      <w:r w:rsidR="0068795B">
        <w:t>and third</w:t>
      </w:r>
      <w:r w:rsidR="00D606D9">
        <w:t xml:space="preserve"> party websites).</w:t>
      </w:r>
      <w:r>
        <w:t xml:space="preserve"> </w:t>
      </w:r>
      <w:r w:rsidR="007B32FE">
        <w:t>For TV, the result showed a downward trend</w:t>
      </w:r>
      <w:r w:rsidR="0068795B">
        <w:t>,</w:t>
      </w:r>
      <w:r w:rsidR="007B32FE">
        <w:t xml:space="preserve"> while digital media registered a 95% </w:t>
      </w:r>
      <w:r w:rsidR="00D606D9">
        <w:t xml:space="preserve">compliance rate. </w:t>
      </w:r>
      <w:r w:rsidR="005C429A">
        <w:t>Mo</w:t>
      </w:r>
      <w:r w:rsidR="00D606D9">
        <w:t>nitoring</w:t>
      </w:r>
      <w:r w:rsidR="005C429A">
        <w:t xml:space="preserve"> </w:t>
      </w:r>
      <w:r w:rsidR="005C429A">
        <w:lastRenderedPageBreak/>
        <w:t>was carried out</w:t>
      </w:r>
      <w:r w:rsidR="00D606D9">
        <w:t xml:space="preserve"> on third-party website </w:t>
      </w:r>
      <w:r w:rsidR="005C429A">
        <w:t xml:space="preserve">to verify to what extent children are exposed to advertisements online. </w:t>
      </w:r>
      <w:r w:rsidR="0068795B">
        <w:t>It was</w:t>
      </w:r>
      <w:r w:rsidR="005C429A">
        <w:t xml:space="preserve"> </w:t>
      </w:r>
      <w:r w:rsidR="00D606D9">
        <w:t xml:space="preserve">found that food and drink sector advertisements represent only 1.09% of all advertisements served. Of all food and drink advertisements served, 80% were served on adult sites. </w:t>
      </w:r>
    </w:p>
    <w:p w:rsidR="00032482" w:rsidRDefault="00032482" w:rsidP="001101D3">
      <w:pPr>
        <w:ind w:left="720" w:hanging="90"/>
        <w:jc w:val="both"/>
      </w:pPr>
    </w:p>
    <w:p w:rsidR="001C65C6" w:rsidRDefault="00032482" w:rsidP="00FC218E">
      <w:pPr>
        <w:ind w:left="720"/>
        <w:jc w:val="both"/>
      </w:pPr>
      <w:r w:rsidRPr="00032482">
        <w:rPr>
          <w:b/>
        </w:rPr>
        <w:t>WFA</w:t>
      </w:r>
      <w:r w:rsidR="00FC218E">
        <w:rPr>
          <w:b/>
        </w:rPr>
        <w:t xml:space="preserve"> </w:t>
      </w:r>
      <w:r w:rsidR="00FC218E">
        <w:t xml:space="preserve">also presented the new enhanced commitments of the EU Pledge. The four main changes </w:t>
      </w:r>
      <w:r w:rsidR="009A72B7">
        <w:t xml:space="preserve">concern: </w:t>
      </w:r>
    </w:p>
    <w:p w:rsidR="001C65C6" w:rsidRDefault="00223944" w:rsidP="001C65C6">
      <w:pPr>
        <w:pStyle w:val="ListParagraph"/>
        <w:numPr>
          <w:ilvl w:val="0"/>
          <w:numId w:val="24"/>
        </w:numPr>
        <w:jc w:val="both"/>
      </w:pPr>
      <w:r>
        <w:t>The e</w:t>
      </w:r>
      <w:r w:rsidR="00FC218E">
        <w:t xml:space="preserve">xpansion of the scope of the Pledge in order to include new </w:t>
      </w:r>
      <w:r>
        <w:t xml:space="preserve">forms of media; </w:t>
      </w:r>
    </w:p>
    <w:p w:rsidR="001C65C6" w:rsidRDefault="00223944" w:rsidP="001C65C6">
      <w:pPr>
        <w:pStyle w:val="ListParagraph"/>
        <w:numPr>
          <w:ilvl w:val="0"/>
          <w:numId w:val="24"/>
        </w:numPr>
        <w:jc w:val="both"/>
      </w:pPr>
      <w:r>
        <w:t>The development of a guidance note to reduce the “grey areas”</w:t>
      </w:r>
      <w:r w:rsidR="009A72B7">
        <w:t xml:space="preserve"> by defining what is a commercial appealing to children under 12</w:t>
      </w:r>
      <w:r>
        <w:t xml:space="preserve">; </w:t>
      </w:r>
    </w:p>
    <w:p w:rsidR="001C65C6" w:rsidRDefault="009A72B7" w:rsidP="001C65C6">
      <w:pPr>
        <w:pStyle w:val="ListParagraph"/>
        <w:numPr>
          <w:ilvl w:val="0"/>
          <w:numId w:val="24"/>
        </w:numPr>
        <w:jc w:val="both"/>
      </w:pPr>
      <w:r>
        <w:t xml:space="preserve">Evolved nutritional criteria; </w:t>
      </w:r>
    </w:p>
    <w:p w:rsidR="004A26B4" w:rsidRDefault="009A72B7" w:rsidP="001C65C6">
      <w:pPr>
        <w:pStyle w:val="ListParagraph"/>
        <w:numPr>
          <w:ilvl w:val="0"/>
          <w:numId w:val="24"/>
        </w:numPr>
        <w:jc w:val="both"/>
      </w:pPr>
      <w:r>
        <w:t xml:space="preserve">Extension of the geographical scope of the EU Pledge. An enhanced accountability mechanism will be also launched by the end of 2017. It will allow consumers to </w:t>
      </w:r>
      <w:r w:rsidR="00843B14">
        <w:t xml:space="preserve">file complaints which will have to be processed within a set timeframe. </w:t>
      </w:r>
    </w:p>
    <w:p w:rsidR="003741DF" w:rsidRDefault="003741DF" w:rsidP="003741DF"/>
    <w:p w:rsidR="00A443E2" w:rsidRDefault="00D61DE1" w:rsidP="00DA234B">
      <w:pPr>
        <w:ind w:left="720"/>
        <w:jc w:val="both"/>
      </w:pPr>
      <w:r w:rsidRPr="00D61DE1">
        <w:rPr>
          <w:b/>
        </w:rPr>
        <w:t>EPHA</w:t>
      </w:r>
      <w:r>
        <w:t xml:space="preserve"> noted that there is divergence between the monitoring results pres</w:t>
      </w:r>
      <w:r w:rsidR="00A8496A">
        <w:t>ented -</w:t>
      </w:r>
      <w:r w:rsidR="00262472">
        <w:t>which</w:t>
      </w:r>
      <w:r w:rsidR="00A8496A">
        <w:t xml:space="preserve"> showed a high level of compliance- </w:t>
      </w:r>
      <w:r>
        <w:t xml:space="preserve">and </w:t>
      </w:r>
      <w:r w:rsidR="00A8496A">
        <w:t xml:space="preserve">the </w:t>
      </w:r>
      <w:r w:rsidR="00A443E2">
        <w:t>scientific</w:t>
      </w:r>
      <w:r>
        <w:t xml:space="preserve"> </w:t>
      </w:r>
      <w:r w:rsidR="00A8496A">
        <w:t>literature</w:t>
      </w:r>
      <w:r w:rsidR="00861A44">
        <w:t>,</w:t>
      </w:r>
      <w:r>
        <w:t xml:space="preserve"> which </w:t>
      </w:r>
      <w:r w:rsidR="00A443E2">
        <w:t>is negative about</w:t>
      </w:r>
      <w:r>
        <w:t xml:space="preserve"> the effectiveness of the EU Pledge. </w:t>
      </w:r>
      <w:r w:rsidR="00A443E2" w:rsidRPr="000929B2">
        <w:rPr>
          <w:b/>
        </w:rPr>
        <w:t>WFA</w:t>
      </w:r>
      <w:r w:rsidR="00A443E2">
        <w:t xml:space="preserve"> replied that monitoring is done against the </w:t>
      </w:r>
      <w:r w:rsidR="000929B2">
        <w:t>objectives</w:t>
      </w:r>
      <w:r w:rsidR="00A443E2">
        <w:t xml:space="preserve"> of the </w:t>
      </w:r>
      <w:r w:rsidR="000929B2">
        <w:t>EU Pledge</w:t>
      </w:r>
      <w:r w:rsidR="003C5FA5">
        <w:t>. The divergence in the results can be explained</w:t>
      </w:r>
      <w:r w:rsidR="000929B2">
        <w:t xml:space="preserve"> </w:t>
      </w:r>
      <w:r w:rsidR="003C5FA5">
        <w:t>by the fact</w:t>
      </w:r>
      <w:r w:rsidR="000929B2">
        <w:t xml:space="preserve"> that</w:t>
      </w:r>
      <w:r w:rsidR="00275616">
        <w:t>,</w:t>
      </w:r>
      <w:r w:rsidR="000929B2">
        <w:t xml:space="preserve"> while monitoring for established media </w:t>
      </w:r>
      <w:r w:rsidR="003C5FA5">
        <w:t>(e.g.</w:t>
      </w:r>
      <w:r w:rsidR="000929B2">
        <w:t xml:space="preserve"> television</w:t>
      </w:r>
      <w:r w:rsidR="003C5FA5">
        <w:t>)</w:t>
      </w:r>
      <w:r w:rsidR="000929B2">
        <w:t xml:space="preserve"> is </w:t>
      </w:r>
      <w:r w:rsidR="003C5FA5">
        <w:t>straightforward</w:t>
      </w:r>
      <w:r w:rsidR="000929B2">
        <w:t xml:space="preserve">, </w:t>
      </w:r>
      <w:r w:rsidR="003C5FA5">
        <w:t xml:space="preserve">monitoring emerging </w:t>
      </w:r>
      <w:r w:rsidR="000929B2">
        <w:t xml:space="preserve">media formats can </w:t>
      </w:r>
      <w:r w:rsidR="003C5FA5">
        <w:t xml:space="preserve">give contradictory results </w:t>
      </w:r>
      <w:r w:rsidR="00275616">
        <w:t>due to the absence of an</w:t>
      </w:r>
      <w:r w:rsidR="003C5FA5">
        <w:t xml:space="preserve"> established methodology. </w:t>
      </w:r>
    </w:p>
    <w:p w:rsidR="003741DF" w:rsidRDefault="003741DF" w:rsidP="00DA234B">
      <w:pPr>
        <w:ind w:left="720"/>
      </w:pPr>
    </w:p>
    <w:p w:rsidR="003741DF" w:rsidRDefault="003C5FA5" w:rsidP="00DA234B">
      <w:pPr>
        <w:ind w:left="720"/>
        <w:jc w:val="both"/>
      </w:pPr>
      <w:r>
        <w:t xml:space="preserve">The </w:t>
      </w:r>
      <w:r w:rsidRPr="00C85F27">
        <w:rPr>
          <w:b/>
        </w:rPr>
        <w:t>World Obesity Federation</w:t>
      </w:r>
      <w:r>
        <w:t xml:space="preserve"> asked how the EU Pledge makes sure that</w:t>
      </w:r>
      <w:r w:rsidR="003170EE">
        <w:t xml:space="preserve"> children’s </w:t>
      </w:r>
      <w:r>
        <w:t xml:space="preserve">exposure to marketing and advertising is reduced. The </w:t>
      </w:r>
      <w:r w:rsidRPr="00C85F27">
        <w:rPr>
          <w:b/>
        </w:rPr>
        <w:t>European Heart Network</w:t>
      </w:r>
      <w:r w:rsidR="001C65C6">
        <w:rPr>
          <w:b/>
        </w:rPr>
        <w:t xml:space="preserve"> (EHN)</w:t>
      </w:r>
      <w:r>
        <w:t xml:space="preserve"> asked if the EU Pledge has the ambition to change the 35% audience threshold. </w:t>
      </w:r>
      <w:r w:rsidRPr="00C85F27">
        <w:rPr>
          <w:b/>
        </w:rPr>
        <w:t>I</w:t>
      </w:r>
      <w:r w:rsidR="00C85F27" w:rsidRPr="00C85F27">
        <w:rPr>
          <w:b/>
        </w:rPr>
        <w:t>BFAN</w:t>
      </w:r>
      <w:r w:rsidR="00C85F27">
        <w:t xml:space="preserve"> pointed to the fact that the monitoring is carried out by a corporate entity.</w:t>
      </w:r>
      <w:r w:rsidR="00AE33F3">
        <w:t xml:space="preserve"> In response to WOF and EHN’s questions, </w:t>
      </w:r>
      <w:r w:rsidR="00AE33F3" w:rsidRPr="00AE33F3">
        <w:rPr>
          <w:b/>
        </w:rPr>
        <w:t>WFA</w:t>
      </w:r>
      <w:r w:rsidR="00AE33F3">
        <w:t xml:space="preserve"> replied that the EU Pledge is committed to adopt responsible standards</w:t>
      </w:r>
      <w:r w:rsidR="00B10FD0">
        <w:t xml:space="preserve"> and that the objective is to agree on a threshold that is acceptable and balanced. </w:t>
      </w:r>
    </w:p>
    <w:p w:rsidR="00C85F27" w:rsidRDefault="00C85F27" w:rsidP="00DA234B">
      <w:pPr>
        <w:ind w:left="720"/>
        <w:jc w:val="both"/>
      </w:pPr>
    </w:p>
    <w:p w:rsidR="00C85F27" w:rsidRDefault="00C85F27" w:rsidP="00DA234B">
      <w:pPr>
        <w:ind w:left="720"/>
        <w:jc w:val="both"/>
      </w:pPr>
      <w:r>
        <w:t xml:space="preserve">The </w:t>
      </w:r>
      <w:r w:rsidRPr="00C85F27">
        <w:rPr>
          <w:b/>
        </w:rPr>
        <w:t>European Commission</w:t>
      </w:r>
      <w:r>
        <w:t xml:space="preserve"> </w:t>
      </w:r>
      <w:r w:rsidR="00A97CF5">
        <w:t>informed the EU Platform members that they have been in contact with the secretariat of the EU Pledge to discuss whether and how the commitments could be improved. The Co</w:t>
      </w:r>
      <w:r w:rsidR="003170EE">
        <w:t>mmission praised the EU Pledge</w:t>
      </w:r>
      <w:r w:rsidR="00A97CF5">
        <w:t xml:space="preserve"> for the positive developments and for its readiness to act. It also commended the </w:t>
      </w:r>
      <w:r w:rsidR="00116E8C">
        <w:t>development of a complaint system</w:t>
      </w:r>
      <w:r w:rsidR="00A97CF5">
        <w:t xml:space="preserve">. </w:t>
      </w:r>
      <w:r w:rsidR="00A95782">
        <w:t>The Commission also stressed that it is not the role of the EU Platform to solve all the issues related to marketing and advertising.</w:t>
      </w:r>
    </w:p>
    <w:p w:rsidR="003741DF" w:rsidRDefault="003741DF" w:rsidP="003741DF"/>
    <w:p w:rsidR="00AC445E" w:rsidRPr="00032482" w:rsidRDefault="00AC445E" w:rsidP="00DA234B">
      <w:pPr>
        <w:tabs>
          <w:tab w:val="left" w:pos="810"/>
        </w:tabs>
        <w:ind w:left="720"/>
        <w:jc w:val="both"/>
        <w:rPr>
          <w:b/>
        </w:rPr>
      </w:pPr>
      <w:r w:rsidRPr="00032482">
        <w:rPr>
          <w:b/>
        </w:rPr>
        <w:t>7.2.2 Example of good practice implementation of the EU Pledge, Mars</w:t>
      </w:r>
    </w:p>
    <w:p w:rsidR="00AC445E" w:rsidRDefault="00AC445E" w:rsidP="00DA234B">
      <w:pPr>
        <w:tabs>
          <w:tab w:val="left" w:pos="810"/>
        </w:tabs>
        <w:ind w:firstLine="90"/>
      </w:pPr>
    </w:p>
    <w:p w:rsidR="000036BD" w:rsidRDefault="00DA234B" w:rsidP="00DA234B">
      <w:pPr>
        <w:tabs>
          <w:tab w:val="left" w:pos="810"/>
        </w:tabs>
        <w:ind w:left="720" w:hanging="720"/>
        <w:jc w:val="both"/>
      </w:pPr>
      <w:r>
        <w:rPr>
          <w:b/>
        </w:rPr>
        <w:tab/>
      </w:r>
      <w:r w:rsidR="003741DF" w:rsidRPr="000E1AFA">
        <w:rPr>
          <w:b/>
        </w:rPr>
        <w:t>Mars</w:t>
      </w:r>
      <w:r w:rsidR="000036BD">
        <w:t xml:space="preserve"> gave a </w:t>
      </w:r>
      <w:hyperlink r:id="rId18" w:history="1">
        <w:r w:rsidR="000036BD" w:rsidRPr="00903815">
          <w:rPr>
            <w:rStyle w:val="Hyperlink"/>
          </w:rPr>
          <w:t>presentation</w:t>
        </w:r>
      </w:hyperlink>
      <w:r w:rsidR="000036BD">
        <w:t xml:space="preserve"> on </w:t>
      </w:r>
      <w:r w:rsidR="00903815">
        <w:t>their Marketing Code a</w:t>
      </w:r>
      <w:r w:rsidR="000E1AFA">
        <w:t xml:space="preserve">nd the areas of focus for 2016 (Mars Marketing Code compliance, responsible cross-promotion to support the World Health Organisation guidelines on sugar intake, update brand character guidelines). The internal process developed to deal with cases of non-compliance was also described. </w:t>
      </w:r>
    </w:p>
    <w:p w:rsidR="003741DF" w:rsidRDefault="003741DF" w:rsidP="00DA234B">
      <w:pPr>
        <w:tabs>
          <w:tab w:val="left" w:pos="810"/>
        </w:tabs>
        <w:ind w:firstLine="180"/>
      </w:pPr>
    </w:p>
    <w:p w:rsidR="003741DF" w:rsidRDefault="00DA234B" w:rsidP="00903815">
      <w:pPr>
        <w:tabs>
          <w:tab w:val="left" w:pos="810"/>
        </w:tabs>
        <w:ind w:left="720" w:hanging="720"/>
        <w:jc w:val="both"/>
      </w:pPr>
      <w:r>
        <w:rPr>
          <w:b/>
        </w:rPr>
        <w:tab/>
      </w:r>
      <w:r w:rsidR="003741DF" w:rsidRPr="00505E0B">
        <w:rPr>
          <w:b/>
        </w:rPr>
        <w:t>IBFAN</w:t>
      </w:r>
      <w:r w:rsidR="00505E0B">
        <w:t xml:space="preserve"> questioned the fact that the brand characters</w:t>
      </w:r>
      <w:r w:rsidR="00FE2F77">
        <w:t xml:space="preserve"> showed in the presentation</w:t>
      </w:r>
      <w:r w:rsidR="00505E0B">
        <w:t xml:space="preserve"> are </w:t>
      </w:r>
      <w:r w:rsidR="00903815">
        <w:t xml:space="preserve">not </w:t>
      </w:r>
      <w:r w:rsidR="00505E0B">
        <w:t xml:space="preserve">appealing to children. </w:t>
      </w:r>
    </w:p>
    <w:p w:rsidR="003741DF" w:rsidRDefault="003741DF" w:rsidP="00DA234B">
      <w:pPr>
        <w:tabs>
          <w:tab w:val="left" w:pos="810"/>
        </w:tabs>
        <w:ind w:firstLine="180"/>
      </w:pPr>
    </w:p>
    <w:p w:rsidR="00FE2F77" w:rsidRDefault="00DA234B" w:rsidP="00DA234B">
      <w:pPr>
        <w:tabs>
          <w:tab w:val="left" w:pos="810"/>
        </w:tabs>
        <w:ind w:left="720" w:hanging="720"/>
        <w:jc w:val="both"/>
      </w:pPr>
      <w:r>
        <w:rPr>
          <w:b/>
        </w:rPr>
        <w:lastRenderedPageBreak/>
        <w:tab/>
      </w:r>
      <w:r w:rsidR="003741DF" w:rsidRPr="00FE2F77">
        <w:rPr>
          <w:b/>
        </w:rPr>
        <w:t>WFA</w:t>
      </w:r>
      <w:r w:rsidR="00FE2F77">
        <w:t xml:space="preserve"> </w:t>
      </w:r>
      <w:r w:rsidR="00903815">
        <w:t>added</w:t>
      </w:r>
      <w:r w:rsidR="00FE2F77">
        <w:t xml:space="preserve"> that the complaint mechanism developed by Mars is an example of best practice that has led to the dev</w:t>
      </w:r>
      <w:r w:rsidR="00903815">
        <w:t xml:space="preserve">elopment of a generic tool at disposal of </w:t>
      </w:r>
      <w:r w:rsidR="00FE2F77">
        <w:t xml:space="preserve">other companies to ensure compliance with their marketing and advertising commitments. </w:t>
      </w:r>
    </w:p>
    <w:p w:rsidR="00DA234B" w:rsidRDefault="00DA234B" w:rsidP="00FE2F77">
      <w:pPr>
        <w:ind w:left="630"/>
        <w:jc w:val="both"/>
      </w:pPr>
    </w:p>
    <w:p w:rsidR="00DA234B" w:rsidRPr="00DA234B" w:rsidRDefault="00DA234B" w:rsidP="00DA234B">
      <w:pPr>
        <w:ind w:left="360"/>
        <w:jc w:val="both"/>
        <w:rPr>
          <w:b/>
        </w:rPr>
      </w:pPr>
      <w:r w:rsidRPr="00DA234B">
        <w:rPr>
          <w:b/>
        </w:rPr>
        <w:t>7.3 Other actions in this area</w:t>
      </w:r>
    </w:p>
    <w:p w:rsidR="00FE2F77" w:rsidRDefault="00FE2F77" w:rsidP="00FE2F77">
      <w:pPr>
        <w:ind w:firstLine="630"/>
      </w:pPr>
    </w:p>
    <w:p w:rsidR="00912A10" w:rsidRDefault="005E4DD1" w:rsidP="00912A10">
      <w:pPr>
        <w:ind w:left="720"/>
        <w:jc w:val="both"/>
        <w:rPr>
          <w:b/>
        </w:rPr>
      </w:pPr>
      <w:r w:rsidRPr="005E4DD1">
        <w:rPr>
          <w:b/>
        </w:rPr>
        <w:t>7.3.1 Relevance to the EU of the WHO guidance on ending inappropriate marketing of foods for infants and young children</w:t>
      </w:r>
      <w:r w:rsidR="00912A10">
        <w:rPr>
          <w:b/>
        </w:rPr>
        <w:t>, IBFAN</w:t>
      </w:r>
    </w:p>
    <w:p w:rsidR="00DA234B" w:rsidRDefault="00DA234B" w:rsidP="003741DF"/>
    <w:p w:rsidR="003741DF" w:rsidRDefault="003741DF" w:rsidP="009456E6">
      <w:pPr>
        <w:ind w:left="720"/>
        <w:jc w:val="both"/>
      </w:pPr>
      <w:r w:rsidRPr="00ED79AC">
        <w:rPr>
          <w:b/>
        </w:rPr>
        <w:t>IBFAN</w:t>
      </w:r>
      <w:r w:rsidR="008847DC">
        <w:t xml:space="preserve"> </w:t>
      </w:r>
      <w:hyperlink r:id="rId19" w:history="1">
        <w:r w:rsidR="008847DC" w:rsidRPr="008847DC">
          <w:rPr>
            <w:rStyle w:val="Hyperlink"/>
          </w:rPr>
          <w:t>presented</w:t>
        </w:r>
      </w:hyperlink>
      <w:r w:rsidR="008847DC">
        <w:t xml:space="preserve"> the WHO International Code of Marketing of Breast-milk substitutes, focusing in particular on </w:t>
      </w:r>
      <w:r w:rsidR="009C2754">
        <w:t>the</w:t>
      </w:r>
      <w:r w:rsidR="008847DC">
        <w:t xml:space="preserve"> recommendations on promotion of foods for infants and young children.</w:t>
      </w:r>
      <w:r w:rsidR="00ED79AC">
        <w:t xml:space="preserve"> IBFAN criticized self-regulation and questioned its effectiveness. </w:t>
      </w:r>
    </w:p>
    <w:p w:rsidR="003741DF" w:rsidRDefault="003741DF" w:rsidP="003741DF"/>
    <w:p w:rsidR="00C32BC5" w:rsidRPr="00C32BC5" w:rsidRDefault="00C32BC5" w:rsidP="006324C2">
      <w:pPr>
        <w:ind w:left="720"/>
        <w:jc w:val="both"/>
        <w:rPr>
          <w:b/>
        </w:rPr>
      </w:pPr>
      <w:r w:rsidRPr="00C32BC5">
        <w:rPr>
          <w:b/>
        </w:rPr>
        <w:t>7.3.2 Food marketing to children. Game over? An introduction to BEUC’s new campaign</w:t>
      </w:r>
    </w:p>
    <w:p w:rsidR="00C32BC5" w:rsidRDefault="00C32BC5" w:rsidP="003741DF"/>
    <w:p w:rsidR="003741DF" w:rsidRDefault="003741DF" w:rsidP="006C5727">
      <w:pPr>
        <w:ind w:left="720"/>
        <w:jc w:val="both"/>
      </w:pPr>
      <w:r w:rsidRPr="00C32BC5">
        <w:rPr>
          <w:b/>
        </w:rPr>
        <w:t>BEUC</w:t>
      </w:r>
      <w:r w:rsidR="00C32BC5">
        <w:rPr>
          <w:b/>
        </w:rPr>
        <w:t xml:space="preserve"> </w:t>
      </w:r>
      <w:r w:rsidR="006C5727">
        <w:t xml:space="preserve">gave a presentation on their advocacy campaign on marketing to children. It showed examples of advertisements on social media targeting kids under 12. While welcoming the EU Pledge enhanced commitment to stop using licensed media characters for advertising to children, BEUC called on the EU Pledge to extend this commitment to packaging. Likewise it asked to stop using brand mascots, including on packaging. BEUC’s campaign also asks the EU Pledge to align its nutrition criteria with the WHO criteria. In the context of the revision of the Audio-Visual Media Services Directive, BEUC is advocating for replacing self-regulation with co-regulation. </w:t>
      </w:r>
    </w:p>
    <w:p w:rsidR="00495C42" w:rsidRDefault="00495C42" w:rsidP="006C5727">
      <w:pPr>
        <w:ind w:left="720"/>
        <w:jc w:val="both"/>
      </w:pPr>
    </w:p>
    <w:p w:rsidR="00495C42" w:rsidRDefault="00495C42" w:rsidP="006C5727">
      <w:pPr>
        <w:ind w:left="720"/>
        <w:jc w:val="both"/>
      </w:pPr>
      <w:r w:rsidRPr="00495C42">
        <w:rPr>
          <w:b/>
        </w:rPr>
        <w:t xml:space="preserve">WFA </w:t>
      </w:r>
      <w:r>
        <w:t xml:space="preserve">indicated that the EU Pledge has the ambition to improve the nutrition criteria and that working groups have been established to work on </w:t>
      </w:r>
      <w:r w:rsidR="006324C2">
        <w:t xml:space="preserve">the </w:t>
      </w:r>
      <w:r>
        <w:t xml:space="preserve">different </w:t>
      </w:r>
      <w:r w:rsidR="006324C2">
        <w:t xml:space="preserve">product </w:t>
      </w:r>
      <w:r>
        <w:t xml:space="preserve">categories. </w:t>
      </w:r>
    </w:p>
    <w:p w:rsidR="00495C42" w:rsidRDefault="00495C42" w:rsidP="006C5727">
      <w:pPr>
        <w:ind w:left="720"/>
        <w:jc w:val="both"/>
      </w:pPr>
    </w:p>
    <w:p w:rsidR="00495C42" w:rsidRDefault="00495C42" w:rsidP="006C5727">
      <w:pPr>
        <w:ind w:left="720"/>
        <w:jc w:val="both"/>
      </w:pPr>
      <w:r w:rsidRPr="00495C42">
        <w:rPr>
          <w:b/>
        </w:rPr>
        <w:t>FoodDrinkEurope</w:t>
      </w:r>
      <w:r>
        <w:t xml:space="preserve"> asked whether BEUC, beside its advocacy campaign against marketing to </w:t>
      </w:r>
      <w:r w:rsidR="006B4D0C">
        <w:t>children</w:t>
      </w:r>
      <w:r>
        <w:t>, has also put in place initiative</w:t>
      </w:r>
      <w:r w:rsidR="006B4D0C">
        <w:t>s</w:t>
      </w:r>
      <w:r>
        <w:t xml:space="preserve"> to help consumer to develop media literacy. </w:t>
      </w:r>
      <w:r w:rsidRPr="00495C42">
        <w:rPr>
          <w:b/>
        </w:rPr>
        <w:t>BEUC</w:t>
      </w:r>
      <w:r>
        <w:rPr>
          <w:b/>
        </w:rPr>
        <w:t xml:space="preserve"> </w:t>
      </w:r>
      <w:r>
        <w:t xml:space="preserve">replied that they are not aware of any actions taken by their members on media literacy. </w:t>
      </w:r>
    </w:p>
    <w:p w:rsidR="00495C42" w:rsidRPr="00495C42" w:rsidRDefault="00495C42" w:rsidP="001C65C6">
      <w:pPr>
        <w:jc w:val="both"/>
      </w:pPr>
    </w:p>
    <w:p w:rsidR="003741DF" w:rsidRPr="00F3602A" w:rsidRDefault="00F3602A" w:rsidP="00F3602A">
      <w:pPr>
        <w:pStyle w:val="ListParagraph"/>
        <w:numPr>
          <w:ilvl w:val="0"/>
          <w:numId w:val="17"/>
        </w:numPr>
        <w:rPr>
          <w:b/>
        </w:rPr>
      </w:pPr>
      <w:r w:rsidRPr="00F3602A">
        <w:rPr>
          <w:b/>
        </w:rPr>
        <w:t>AOB</w:t>
      </w:r>
    </w:p>
    <w:p w:rsidR="00F3602A" w:rsidRDefault="00F3602A" w:rsidP="00F3602A"/>
    <w:p w:rsidR="00F3602A" w:rsidRPr="00F3602A" w:rsidRDefault="00F3602A" w:rsidP="00F3602A">
      <w:pPr>
        <w:jc w:val="both"/>
        <w:rPr>
          <w:bCs/>
        </w:rPr>
      </w:pPr>
      <w:r>
        <w:t xml:space="preserve">It was agreed to withdraw the status of </w:t>
      </w:r>
      <w:r w:rsidRPr="00F3602A">
        <w:t>European Non-Governmental Sports Organisation</w:t>
      </w:r>
      <w:r w:rsidRPr="00F3602A">
        <w:rPr>
          <w:bCs/>
        </w:rPr>
        <w:t xml:space="preserve"> since they do not ha</w:t>
      </w:r>
      <w:r>
        <w:rPr>
          <w:bCs/>
        </w:rPr>
        <w:t>ve active commitments since 2015</w:t>
      </w:r>
      <w:r w:rsidRPr="00F3602A">
        <w:rPr>
          <w:bCs/>
        </w:rPr>
        <w:t>.</w:t>
      </w:r>
    </w:p>
    <w:p w:rsidR="00012B9D" w:rsidRPr="00F3602A" w:rsidRDefault="00012B9D" w:rsidP="00F3602A">
      <w:pPr>
        <w:rPr>
          <w:bCs/>
        </w:rPr>
      </w:pPr>
    </w:p>
    <w:p w:rsidR="00012B9D" w:rsidRDefault="00012B9D" w:rsidP="00012B9D">
      <w:pPr>
        <w:jc w:val="both"/>
      </w:pPr>
    </w:p>
    <w:p w:rsidR="00012B9D" w:rsidRDefault="00012B9D" w:rsidP="00012B9D">
      <w:pPr>
        <w:jc w:val="both"/>
        <w:rPr>
          <w:lang w:eastAsia="en-US"/>
        </w:rPr>
      </w:pPr>
      <w:r>
        <w:rPr>
          <w:b/>
        </w:rPr>
        <w:t xml:space="preserve">Next Platform meeting: </w:t>
      </w:r>
      <w:r w:rsidR="00F3602A">
        <w:rPr>
          <w:b/>
        </w:rPr>
        <w:t>1</w:t>
      </w:r>
      <w:r>
        <w:rPr>
          <w:b/>
        </w:rPr>
        <w:t xml:space="preserve"> </w:t>
      </w:r>
      <w:r w:rsidR="00C85F27">
        <w:rPr>
          <w:b/>
        </w:rPr>
        <w:t>June</w:t>
      </w:r>
      <w:r>
        <w:rPr>
          <w:b/>
        </w:rPr>
        <w:t xml:space="preserve"> 2017 (Joint meeting of the EU Platform and High Level Group in Brussels)</w:t>
      </w:r>
    </w:p>
    <w:p w:rsidR="00012B9D" w:rsidRDefault="00012B9D" w:rsidP="00012B9D">
      <w:pPr>
        <w:rPr>
          <w:b/>
        </w:rPr>
      </w:pPr>
    </w:p>
    <w:p w:rsidR="00012B9D" w:rsidRDefault="00012B9D" w:rsidP="00012B9D">
      <w:pPr>
        <w:rPr>
          <w:b/>
        </w:rPr>
      </w:pPr>
    </w:p>
    <w:p w:rsidR="00012B9D" w:rsidRDefault="00012B9D" w:rsidP="00012B9D">
      <w:pPr>
        <w:jc w:val="center"/>
        <w:rPr>
          <w:sz w:val="32"/>
        </w:rPr>
      </w:pPr>
      <w:r>
        <w:rPr>
          <w:sz w:val="32"/>
        </w:rPr>
        <w:t>***</w:t>
      </w:r>
    </w:p>
    <w:p w:rsidR="00012B9D" w:rsidRPr="00D63878" w:rsidRDefault="00012B9D" w:rsidP="00EB50E9">
      <w:pPr>
        <w:tabs>
          <w:tab w:val="left" w:pos="7088"/>
        </w:tabs>
        <w:jc w:val="both"/>
        <w:rPr>
          <w:rFonts w:cs="Arial"/>
          <w:szCs w:val="22"/>
        </w:rPr>
      </w:pPr>
    </w:p>
    <w:p w:rsidR="00EB50E9" w:rsidRDefault="00EB50E9" w:rsidP="00EB50E9">
      <w:pPr>
        <w:tabs>
          <w:tab w:val="left" w:pos="7088"/>
        </w:tabs>
        <w:jc w:val="both"/>
        <w:rPr>
          <w:rFonts w:cs="Arial"/>
          <w:szCs w:val="22"/>
        </w:rPr>
      </w:pPr>
    </w:p>
    <w:p w:rsidR="00E7365A" w:rsidRPr="003D559F" w:rsidRDefault="00E7365A" w:rsidP="00012B93">
      <w:pPr>
        <w:tabs>
          <w:tab w:val="left" w:pos="7088"/>
        </w:tabs>
        <w:jc w:val="both"/>
        <w:rPr>
          <w:rFonts w:cs="Arial"/>
          <w:szCs w:val="22"/>
        </w:rPr>
      </w:pPr>
    </w:p>
    <w:sectPr w:rsidR="00E7365A" w:rsidRPr="003D559F" w:rsidSect="00690B1C">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780" w:rsidRDefault="00D53780" w:rsidP="00D332F2">
      <w:r>
        <w:separator/>
      </w:r>
    </w:p>
  </w:endnote>
  <w:endnote w:type="continuationSeparator" w:id="0">
    <w:p w:rsidR="00D53780" w:rsidRDefault="00D53780" w:rsidP="00D3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B1C" w:rsidRDefault="00690B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5C2EF8" w:rsidRPr="00690B1C" w:rsidRDefault="00690B1C" w:rsidP="00690B1C">
    <w:pPr>
      <w:pStyle w:val="Footer"/>
      <w:jc w:val="right"/>
      <w:rPr>
        <w:rFonts w:cs="Arial"/>
        <w:color w:val="333399"/>
        <w:sz w:val="18"/>
      </w:rPr>
    </w:pPr>
    <w:r w:rsidRPr="00690B1C">
      <w:rPr>
        <w:rFonts w:cs="Arial"/>
        <w:color w:val="333399"/>
        <w:sz w:val="18"/>
      </w:rPr>
      <w:fldChar w:fldCharType="begin"/>
    </w:r>
    <w:r w:rsidRPr="00690B1C">
      <w:rPr>
        <w:rFonts w:cs="Arial"/>
        <w:color w:val="333399"/>
        <w:sz w:val="18"/>
      </w:rPr>
      <w:instrText xml:space="preserve"> PAGE \* MERGEFORMAT </w:instrText>
    </w:r>
    <w:r w:rsidRPr="00690B1C">
      <w:rPr>
        <w:rFonts w:cs="Arial"/>
        <w:color w:val="333399"/>
        <w:sz w:val="18"/>
      </w:rPr>
      <w:fldChar w:fldCharType="separate"/>
    </w:r>
    <w:r>
      <w:rPr>
        <w:rFonts w:cs="Arial"/>
        <w:noProof/>
        <w:color w:val="333399"/>
        <w:sz w:val="18"/>
      </w:rPr>
      <w:t>2</w:t>
    </w:r>
    <w:r w:rsidRPr="00690B1C">
      <w:rPr>
        <w:rFonts w:cs="Arial"/>
        <w:color w:val="333399"/>
        <w:sz w:val="18"/>
      </w:rPr>
      <w:fldChar w:fldCharType="end"/>
    </w:r>
    <w:r w:rsidRPr="00690B1C">
      <w:rPr>
        <w:rFonts w:cs="Arial"/>
        <w:color w:val="333399"/>
        <w:sz w:val="18"/>
      </w:rPr>
      <w:t>/</w:t>
    </w:r>
    <w:r w:rsidRPr="00690B1C">
      <w:rPr>
        <w:rFonts w:cs="Arial"/>
        <w:color w:val="333399"/>
        <w:sz w:val="18"/>
      </w:rPr>
      <w:fldChar w:fldCharType="begin"/>
    </w:r>
    <w:r w:rsidRPr="00690B1C">
      <w:rPr>
        <w:rFonts w:cs="Arial"/>
        <w:color w:val="333399"/>
        <w:sz w:val="18"/>
      </w:rPr>
      <w:instrText xml:space="preserve"> NUMPAGES \* MERGEFORMAT </w:instrText>
    </w:r>
    <w:r w:rsidRPr="00690B1C">
      <w:rPr>
        <w:rFonts w:cs="Arial"/>
        <w:color w:val="333399"/>
        <w:sz w:val="18"/>
      </w:rPr>
      <w:fldChar w:fldCharType="separate"/>
    </w:r>
    <w:r>
      <w:rPr>
        <w:rFonts w:cs="Arial"/>
        <w:noProof/>
        <w:color w:val="333399"/>
        <w:sz w:val="18"/>
      </w:rPr>
      <w:t>10</w:t>
    </w:r>
    <w:r w:rsidRPr="00690B1C">
      <w:rPr>
        <w:rFonts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B1C" w:rsidRPr="00690B1C" w:rsidRDefault="00690B1C" w:rsidP="00690B1C">
    <w:pPr>
      <w:pStyle w:val="Footer"/>
      <w:rPr>
        <w:rFonts w:cs="Arial"/>
        <w:color w:val="333399"/>
        <w:sz w:val="18"/>
      </w:rPr>
    </w:pPr>
    <w:r w:rsidRPr="00690B1C">
      <w:rPr>
        <w:rFonts w:cs="Arial"/>
        <w:color w:val="333399"/>
        <w:sz w:val="18"/>
      </w:rPr>
      <w:t>Avenue des Nerviens 9-31 - 1040 Brussels - BELGIUM - Tel. +32 2 514 11 11 </w:t>
    </w:r>
  </w:p>
  <w:p w:rsidR="00690B1C" w:rsidRPr="00690B1C" w:rsidRDefault="00690B1C" w:rsidP="00690B1C">
    <w:pPr>
      <w:pStyle w:val="Footer"/>
      <w:rPr>
        <w:rFonts w:cs="Arial"/>
        <w:color w:val="333399"/>
        <w:sz w:val="18"/>
      </w:rPr>
    </w:pPr>
    <w:r w:rsidRPr="00690B1C">
      <w:rPr>
        <w:rFonts w:cs="Arial"/>
        <w:color w:val="333399"/>
        <w:sz w:val="18"/>
      </w:rPr>
      <w:t>info@fooddrinkeurope.eu - www.fooddrinkeurope.eu - ETI Register 75818824519-45</w:t>
    </w:r>
  </w:p>
  <w:p w:rsidR="005C2EF8" w:rsidRPr="00690B1C" w:rsidRDefault="00690B1C" w:rsidP="00690B1C">
    <w:pPr>
      <w:pStyle w:val="Footer"/>
      <w:rPr>
        <w:rFonts w:cs="Arial"/>
        <w:color w:val="333399"/>
        <w:sz w:val="18"/>
      </w:rPr>
    </w:pPr>
    <w:r w:rsidRPr="00690B1C">
      <w:rPr>
        <w:rFonts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780" w:rsidRDefault="00D53780" w:rsidP="00D332F2">
      <w:r>
        <w:separator/>
      </w:r>
    </w:p>
  </w:footnote>
  <w:footnote w:type="continuationSeparator" w:id="0">
    <w:p w:rsidR="00D53780" w:rsidRDefault="00D53780" w:rsidP="00D33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B1C" w:rsidRDefault="00690B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690B1C" w:rsidRPr="00690B1C" w:rsidTr="00690B1C">
      <w:tc>
        <w:tcPr>
          <w:tcW w:w="4606" w:type="dxa"/>
          <w:shd w:val="clear" w:color="auto" w:fill="auto"/>
        </w:tcPr>
        <w:p w:rsidR="00690B1C" w:rsidRPr="00690B1C" w:rsidRDefault="00690B1C" w:rsidP="00690B1C">
          <w:pPr>
            <w:pStyle w:val="Header"/>
            <w:jc w:val="right"/>
            <w:rPr>
              <w:rFonts w:cs="Arial"/>
              <w:sz w:val="18"/>
            </w:rPr>
          </w:pPr>
          <w:r w:rsidRPr="00690B1C">
            <w:rPr>
              <w:rFonts w:cs="Arial"/>
              <w:noProof/>
              <w:sz w:val="18"/>
              <w:lang w:val="fr-BE"/>
            </w:rPr>
            <w:drawing>
              <wp:inline distT="0" distB="0" distL="0" distR="0" wp14:anchorId="199E9F78" wp14:editId="75588759">
                <wp:extent cx="4114800" cy="8477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4606" w:type="dxa"/>
          <w:shd w:val="clear" w:color="auto" w:fill="auto"/>
        </w:tcPr>
        <w:p w:rsidR="00690B1C" w:rsidRPr="00690B1C" w:rsidRDefault="00690B1C" w:rsidP="00690B1C">
          <w:pPr>
            <w:pStyle w:val="Header"/>
            <w:jc w:val="right"/>
            <w:rPr>
              <w:rFonts w:cs="Arial"/>
              <w:sz w:val="18"/>
            </w:rPr>
          </w:pPr>
        </w:p>
        <w:p w:rsidR="00690B1C" w:rsidRPr="00690B1C" w:rsidRDefault="00690B1C" w:rsidP="00690B1C">
          <w:pPr>
            <w:pStyle w:val="Header"/>
            <w:jc w:val="right"/>
            <w:rPr>
              <w:rFonts w:cs="Arial"/>
              <w:sz w:val="18"/>
            </w:rPr>
          </w:pPr>
        </w:p>
        <w:p w:rsidR="00690B1C" w:rsidRPr="00690B1C" w:rsidRDefault="00690B1C" w:rsidP="00690B1C">
          <w:pPr>
            <w:pStyle w:val="Header"/>
            <w:jc w:val="right"/>
            <w:rPr>
              <w:rFonts w:cs="Arial"/>
              <w:sz w:val="18"/>
            </w:rPr>
          </w:pPr>
          <w:r w:rsidRPr="00690B1C">
            <w:rPr>
              <w:rFonts w:cs="Arial"/>
              <w:sz w:val="18"/>
            </w:rPr>
            <w:t>DIET/024/17E</w:t>
          </w:r>
        </w:p>
      </w:tc>
    </w:tr>
  </w:tbl>
  <w:p w:rsidR="005C2EF8" w:rsidRPr="00690B1C" w:rsidRDefault="005C2EF8" w:rsidP="00690B1C">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690B1C" w:rsidRPr="00690B1C" w:rsidTr="00690B1C">
      <w:tc>
        <w:tcPr>
          <w:tcW w:w="4606" w:type="dxa"/>
          <w:shd w:val="clear" w:color="auto" w:fill="auto"/>
        </w:tcPr>
        <w:p w:rsidR="00690B1C" w:rsidRPr="00690B1C" w:rsidRDefault="00690B1C" w:rsidP="00690B1C">
          <w:pPr>
            <w:pStyle w:val="Header"/>
            <w:jc w:val="right"/>
            <w:rPr>
              <w:rFonts w:cs="Arial"/>
              <w:sz w:val="18"/>
            </w:rPr>
          </w:pPr>
          <w:r w:rsidRPr="00690B1C">
            <w:rPr>
              <w:rFonts w:cs="Arial"/>
              <w:noProof/>
              <w:sz w:val="18"/>
              <w:lang w:val="fr-BE"/>
            </w:rPr>
            <w:drawing>
              <wp:inline distT="0" distB="0" distL="0" distR="0" wp14:anchorId="604D497B" wp14:editId="1008DFF5">
                <wp:extent cx="4114800" cy="16859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4606" w:type="dxa"/>
          <w:shd w:val="clear" w:color="auto" w:fill="auto"/>
        </w:tcPr>
        <w:p w:rsidR="00690B1C" w:rsidRPr="00690B1C" w:rsidRDefault="00690B1C" w:rsidP="00690B1C">
          <w:pPr>
            <w:pStyle w:val="Header"/>
            <w:jc w:val="right"/>
            <w:rPr>
              <w:rFonts w:cs="Arial"/>
              <w:sz w:val="18"/>
            </w:rPr>
          </w:pPr>
        </w:p>
        <w:p w:rsidR="00690B1C" w:rsidRPr="00690B1C" w:rsidRDefault="00690B1C" w:rsidP="00690B1C">
          <w:pPr>
            <w:pStyle w:val="Header"/>
            <w:jc w:val="right"/>
            <w:rPr>
              <w:rFonts w:cs="Arial"/>
              <w:sz w:val="18"/>
            </w:rPr>
          </w:pPr>
        </w:p>
        <w:p w:rsidR="00690B1C" w:rsidRPr="00690B1C" w:rsidRDefault="00690B1C" w:rsidP="00690B1C">
          <w:pPr>
            <w:pStyle w:val="Header"/>
            <w:jc w:val="right"/>
            <w:rPr>
              <w:rFonts w:cs="Arial"/>
              <w:sz w:val="18"/>
            </w:rPr>
          </w:pPr>
          <w:r w:rsidRPr="00690B1C">
            <w:rPr>
              <w:rFonts w:cs="Arial"/>
              <w:sz w:val="18"/>
            </w:rPr>
            <w:t>DIET/024/17E</w:t>
          </w:r>
        </w:p>
      </w:tc>
    </w:tr>
  </w:tbl>
  <w:p w:rsidR="005C2EF8" w:rsidRPr="00690B1C" w:rsidRDefault="005C2EF8" w:rsidP="00690B1C">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3A323A"/>
    <w:multiLevelType w:val="hybridMultilevel"/>
    <w:tmpl w:val="2F88FA32"/>
    <w:lvl w:ilvl="0" w:tplc="36C82664">
      <w:start w:val="1"/>
      <w:numFmt w:val="decimal"/>
      <w:pStyle w:val="Heading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C346BC6"/>
    <w:multiLevelType w:val="hybridMultilevel"/>
    <w:tmpl w:val="D6C4D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3C36DE"/>
    <w:multiLevelType w:val="multilevel"/>
    <w:tmpl w:val="D6400940"/>
    <w:lvl w:ilvl="0">
      <w:start w:val="1"/>
      <w:numFmt w:val="decimal"/>
      <w:lvlText w:val="%1."/>
      <w:lvlJc w:val="left"/>
      <w:pPr>
        <w:ind w:left="360" w:hanging="360"/>
      </w:pPr>
      <w:rPr>
        <w:rFonts w:hint="default"/>
      </w:rPr>
    </w:lvl>
    <w:lvl w:ilvl="1">
      <w:start w:val="1"/>
      <w:numFmt w:val="decimal"/>
      <w:isLgl/>
      <w:lvlText w:val="%1.%2."/>
      <w:lvlJc w:val="left"/>
      <w:pPr>
        <w:ind w:left="1068" w:hanging="72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3180" w:hanging="144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4236" w:hanging="1800"/>
      </w:pPr>
      <w:rPr>
        <w:rFonts w:hint="default"/>
      </w:rPr>
    </w:lvl>
    <w:lvl w:ilvl="8">
      <w:start w:val="1"/>
      <w:numFmt w:val="decimal"/>
      <w:isLgl/>
      <w:lvlText w:val="%1.%2.%3.%4.%5.%6.%7.%8.%9."/>
      <w:lvlJc w:val="left"/>
      <w:pPr>
        <w:ind w:left="4584" w:hanging="1800"/>
      </w:pPr>
      <w:rPr>
        <w:rFonts w:hint="default"/>
      </w:rPr>
    </w:lvl>
  </w:abstractNum>
  <w:abstractNum w:abstractNumId="4">
    <w:nsid w:val="10996615"/>
    <w:multiLevelType w:val="hybridMultilevel"/>
    <w:tmpl w:val="D512B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903A46"/>
    <w:multiLevelType w:val="hybridMultilevel"/>
    <w:tmpl w:val="B82A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C90451"/>
    <w:multiLevelType w:val="hybridMultilevel"/>
    <w:tmpl w:val="95B49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DF278A9"/>
    <w:multiLevelType w:val="multilevel"/>
    <w:tmpl w:val="D6400940"/>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8">
    <w:nsid w:val="20574FD9"/>
    <w:multiLevelType w:val="hybridMultilevel"/>
    <w:tmpl w:val="D990F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2008F5"/>
    <w:multiLevelType w:val="hybridMultilevel"/>
    <w:tmpl w:val="87E84336"/>
    <w:lvl w:ilvl="0" w:tplc="E1AADC6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7853E9"/>
    <w:multiLevelType w:val="hybridMultilevel"/>
    <w:tmpl w:val="D0DE7AC4"/>
    <w:lvl w:ilvl="0" w:tplc="0D16592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F2E7ACD"/>
    <w:multiLevelType w:val="hybridMultilevel"/>
    <w:tmpl w:val="CAB61EB8"/>
    <w:lvl w:ilvl="0" w:tplc="0D16592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71D674D"/>
    <w:multiLevelType w:val="hybridMultilevel"/>
    <w:tmpl w:val="64AC9E20"/>
    <w:lvl w:ilvl="0" w:tplc="044AF7A6">
      <w:start w:val="201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9D63E5"/>
    <w:multiLevelType w:val="hybridMultilevel"/>
    <w:tmpl w:val="5CF0E712"/>
    <w:lvl w:ilvl="0" w:tplc="D76A9CA2">
      <w:start w:val="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B1349D"/>
    <w:multiLevelType w:val="hybridMultilevel"/>
    <w:tmpl w:val="C5B8C492"/>
    <w:lvl w:ilvl="0" w:tplc="0D16592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EB28C6"/>
    <w:multiLevelType w:val="hybridMultilevel"/>
    <w:tmpl w:val="C8AE4DB2"/>
    <w:lvl w:ilvl="0" w:tplc="796699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2530877"/>
    <w:multiLevelType w:val="hybridMultilevel"/>
    <w:tmpl w:val="F3860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62371E60"/>
    <w:multiLevelType w:val="hybridMultilevel"/>
    <w:tmpl w:val="FF90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9C525B"/>
    <w:multiLevelType w:val="hybridMultilevel"/>
    <w:tmpl w:val="52EA3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A0B6674"/>
    <w:multiLevelType w:val="hybridMultilevel"/>
    <w:tmpl w:val="00A03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2D0C6D"/>
    <w:multiLevelType w:val="hybridMultilevel"/>
    <w:tmpl w:val="F76EF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FB1EFD"/>
    <w:multiLevelType w:val="hybridMultilevel"/>
    <w:tmpl w:val="EAA41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14"/>
  </w:num>
  <w:num w:numId="4">
    <w:abstractNumId w:val="10"/>
  </w:num>
  <w:num w:numId="5">
    <w:abstractNumId w:val="11"/>
  </w:num>
  <w:num w:numId="6">
    <w:abstractNumId w:val="10"/>
  </w:num>
  <w:num w:numId="7">
    <w:abstractNumId w:val="21"/>
  </w:num>
  <w:num w:numId="8">
    <w:abstractNumId w:val="17"/>
  </w:num>
  <w:num w:numId="9">
    <w:abstractNumId w:val="2"/>
  </w:num>
  <w:num w:numId="10">
    <w:abstractNumId w:val="19"/>
  </w:num>
  <w:num w:numId="11">
    <w:abstractNumId w:val="13"/>
  </w:num>
  <w:num w:numId="12">
    <w:abstractNumId w:val="12"/>
  </w:num>
  <w:num w:numId="13">
    <w:abstractNumId w:val="5"/>
  </w:num>
  <w:num w:numId="14">
    <w:abstractNumId w:val="3"/>
  </w:num>
  <w:num w:numId="15">
    <w:abstractNumId w:val="4"/>
  </w:num>
  <w:num w:numId="16">
    <w:abstractNumId w:val="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9"/>
  </w:num>
  <w:num w:numId="21">
    <w:abstractNumId w:val="7"/>
  </w:num>
  <w:num w:numId="22">
    <w:abstractNumId w:val="20"/>
  </w:num>
  <w:num w:numId="23">
    <w:abstractNumId w:val="8"/>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C25"/>
    <w:rsid w:val="000036BD"/>
    <w:rsid w:val="00006573"/>
    <w:rsid w:val="00012604"/>
    <w:rsid w:val="000129FF"/>
    <w:rsid w:val="00012B93"/>
    <w:rsid w:val="00012B9D"/>
    <w:rsid w:val="00017D8D"/>
    <w:rsid w:val="00025F26"/>
    <w:rsid w:val="00032165"/>
    <w:rsid w:val="00032482"/>
    <w:rsid w:val="000364A5"/>
    <w:rsid w:val="00036C9E"/>
    <w:rsid w:val="00042E2B"/>
    <w:rsid w:val="00061077"/>
    <w:rsid w:val="00061483"/>
    <w:rsid w:val="00064C50"/>
    <w:rsid w:val="00066B86"/>
    <w:rsid w:val="000705E2"/>
    <w:rsid w:val="000733F1"/>
    <w:rsid w:val="0007456D"/>
    <w:rsid w:val="00075AB9"/>
    <w:rsid w:val="00076A29"/>
    <w:rsid w:val="00081E08"/>
    <w:rsid w:val="00083C6A"/>
    <w:rsid w:val="00086495"/>
    <w:rsid w:val="0009028F"/>
    <w:rsid w:val="000929B2"/>
    <w:rsid w:val="000937E9"/>
    <w:rsid w:val="000A143A"/>
    <w:rsid w:val="000A6E81"/>
    <w:rsid w:val="000A75BF"/>
    <w:rsid w:val="000B3724"/>
    <w:rsid w:val="000B65FE"/>
    <w:rsid w:val="000B771A"/>
    <w:rsid w:val="000E1205"/>
    <w:rsid w:val="000E1AFA"/>
    <w:rsid w:val="000F15AD"/>
    <w:rsid w:val="000F1E86"/>
    <w:rsid w:val="00103C46"/>
    <w:rsid w:val="001101D3"/>
    <w:rsid w:val="00112342"/>
    <w:rsid w:val="001135A4"/>
    <w:rsid w:val="001158AE"/>
    <w:rsid w:val="00116E8C"/>
    <w:rsid w:val="0013377D"/>
    <w:rsid w:val="00145245"/>
    <w:rsid w:val="0015252E"/>
    <w:rsid w:val="0016072C"/>
    <w:rsid w:val="0016131D"/>
    <w:rsid w:val="00177C4A"/>
    <w:rsid w:val="00194175"/>
    <w:rsid w:val="001A2885"/>
    <w:rsid w:val="001A2D43"/>
    <w:rsid w:val="001A4208"/>
    <w:rsid w:val="001B2FD0"/>
    <w:rsid w:val="001C65C6"/>
    <w:rsid w:val="001D1C82"/>
    <w:rsid w:val="001E2374"/>
    <w:rsid w:val="0020334E"/>
    <w:rsid w:val="002123FE"/>
    <w:rsid w:val="00223944"/>
    <w:rsid w:val="00225D2A"/>
    <w:rsid w:val="0022638B"/>
    <w:rsid w:val="00230CFA"/>
    <w:rsid w:val="00242C81"/>
    <w:rsid w:val="00247931"/>
    <w:rsid w:val="002534B5"/>
    <w:rsid w:val="00254E27"/>
    <w:rsid w:val="00255433"/>
    <w:rsid w:val="00262472"/>
    <w:rsid w:val="00262645"/>
    <w:rsid w:val="002662AB"/>
    <w:rsid w:val="00267F3C"/>
    <w:rsid w:val="0027496A"/>
    <w:rsid w:val="00275616"/>
    <w:rsid w:val="00275810"/>
    <w:rsid w:val="00284229"/>
    <w:rsid w:val="00286747"/>
    <w:rsid w:val="002A40CB"/>
    <w:rsid w:val="002A5075"/>
    <w:rsid w:val="002C3AC8"/>
    <w:rsid w:val="002D35BC"/>
    <w:rsid w:val="002D5FC4"/>
    <w:rsid w:val="002D7721"/>
    <w:rsid w:val="002E21F6"/>
    <w:rsid w:val="002E3DC9"/>
    <w:rsid w:val="002E63BC"/>
    <w:rsid w:val="002E6530"/>
    <w:rsid w:val="002E7C56"/>
    <w:rsid w:val="002F5BD4"/>
    <w:rsid w:val="002F6710"/>
    <w:rsid w:val="002F7E85"/>
    <w:rsid w:val="00301A28"/>
    <w:rsid w:val="00301F87"/>
    <w:rsid w:val="00305BC4"/>
    <w:rsid w:val="003063B5"/>
    <w:rsid w:val="003170EE"/>
    <w:rsid w:val="00320574"/>
    <w:rsid w:val="00322436"/>
    <w:rsid w:val="003253E8"/>
    <w:rsid w:val="00331749"/>
    <w:rsid w:val="0033239B"/>
    <w:rsid w:val="00343535"/>
    <w:rsid w:val="00365657"/>
    <w:rsid w:val="003741DF"/>
    <w:rsid w:val="0037473E"/>
    <w:rsid w:val="00377DB9"/>
    <w:rsid w:val="00383EE8"/>
    <w:rsid w:val="00384BFC"/>
    <w:rsid w:val="0038519D"/>
    <w:rsid w:val="003853D1"/>
    <w:rsid w:val="0039020E"/>
    <w:rsid w:val="00394A24"/>
    <w:rsid w:val="00396E2E"/>
    <w:rsid w:val="003B1F4C"/>
    <w:rsid w:val="003B2013"/>
    <w:rsid w:val="003B2E13"/>
    <w:rsid w:val="003B5F6C"/>
    <w:rsid w:val="003C54F6"/>
    <w:rsid w:val="003C5FA5"/>
    <w:rsid w:val="003C67EC"/>
    <w:rsid w:val="003D4E2E"/>
    <w:rsid w:val="003D559F"/>
    <w:rsid w:val="003F083A"/>
    <w:rsid w:val="003F632D"/>
    <w:rsid w:val="00402F86"/>
    <w:rsid w:val="0041578B"/>
    <w:rsid w:val="00420CC7"/>
    <w:rsid w:val="00424531"/>
    <w:rsid w:val="004301BF"/>
    <w:rsid w:val="004450F8"/>
    <w:rsid w:val="00450EA5"/>
    <w:rsid w:val="0045727C"/>
    <w:rsid w:val="00471068"/>
    <w:rsid w:val="004779DD"/>
    <w:rsid w:val="004812E7"/>
    <w:rsid w:val="004832CC"/>
    <w:rsid w:val="004833FB"/>
    <w:rsid w:val="00490F7B"/>
    <w:rsid w:val="00495415"/>
    <w:rsid w:val="00495C42"/>
    <w:rsid w:val="004A26B4"/>
    <w:rsid w:val="004C060E"/>
    <w:rsid w:val="004C4848"/>
    <w:rsid w:val="004C4A44"/>
    <w:rsid w:val="004C6317"/>
    <w:rsid w:val="004C76D8"/>
    <w:rsid w:val="004D0C8F"/>
    <w:rsid w:val="004E31A0"/>
    <w:rsid w:val="004F352C"/>
    <w:rsid w:val="00505E0B"/>
    <w:rsid w:val="00510CE6"/>
    <w:rsid w:val="00511749"/>
    <w:rsid w:val="00511FC3"/>
    <w:rsid w:val="005123C3"/>
    <w:rsid w:val="005151FE"/>
    <w:rsid w:val="00517E24"/>
    <w:rsid w:val="005241A4"/>
    <w:rsid w:val="005251D9"/>
    <w:rsid w:val="005252EC"/>
    <w:rsid w:val="00527696"/>
    <w:rsid w:val="0053127B"/>
    <w:rsid w:val="00531565"/>
    <w:rsid w:val="00532F54"/>
    <w:rsid w:val="00535DF7"/>
    <w:rsid w:val="00551EEF"/>
    <w:rsid w:val="0055288D"/>
    <w:rsid w:val="00555D72"/>
    <w:rsid w:val="00573151"/>
    <w:rsid w:val="00573B17"/>
    <w:rsid w:val="00584EDA"/>
    <w:rsid w:val="005941C4"/>
    <w:rsid w:val="005A03E6"/>
    <w:rsid w:val="005A17A2"/>
    <w:rsid w:val="005A57AA"/>
    <w:rsid w:val="005B5F69"/>
    <w:rsid w:val="005B6574"/>
    <w:rsid w:val="005C2EF8"/>
    <w:rsid w:val="005C38B7"/>
    <w:rsid w:val="005C429A"/>
    <w:rsid w:val="005E030C"/>
    <w:rsid w:val="005E4DD1"/>
    <w:rsid w:val="005F1A76"/>
    <w:rsid w:val="005F3859"/>
    <w:rsid w:val="005F65F6"/>
    <w:rsid w:val="006049A4"/>
    <w:rsid w:val="00616F37"/>
    <w:rsid w:val="006179CF"/>
    <w:rsid w:val="0062582A"/>
    <w:rsid w:val="00626D77"/>
    <w:rsid w:val="00626E8F"/>
    <w:rsid w:val="006324C2"/>
    <w:rsid w:val="00636959"/>
    <w:rsid w:val="006456A8"/>
    <w:rsid w:val="00645D82"/>
    <w:rsid w:val="0064658F"/>
    <w:rsid w:val="0065316E"/>
    <w:rsid w:val="006578F5"/>
    <w:rsid w:val="00660B5C"/>
    <w:rsid w:val="006639E2"/>
    <w:rsid w:val="006718AD"/>
    <w:rsid w:val="00676ECF"/>
    <w:rsid w:val="0067752E"/>
    <w:rsid w:val="00680B40"/>
    <w:rsid w:val="0068663A"/>
    <w:rsid w:val="00686FBB"/>
    <w:rsid w:val="006876B3"/>
    <w:rsid w:val="0068795B"/>
    <w:rsid w:val="00690B1C"/>
    <w:rsid w:val="006B0D41"/>
    <w:rsid w:val="006B1DA3"/>
    <w:rsid w:val="006B2800"/>
    <w:rsid w:val="006B2BC4"/>
    <w:rsid w:val="006B4D0C"/>
    <w:rsid w:val="006B79F9"/>
    <w:rsid w:val="006C29A2"/>
    <w:rsid w:val="006C3B6D"/>
    <w:rsid w:val="006C5727"/>
    <w:rsid w:val="006C7915"/>
    <w:rsid w:val="006D6706"/>
    <w:rsid w:val="006E47F6"/>
    <w:rsid w:val="006F0388"/>
    <w:rsid w:val="006F796B"/>
    <w:rsid w:val="007003EE"/>
    <w:rsid w:val="0070566C"/>
    <w:rsid w:val="00713CE9"/>
    <w:rsid w:val="00716277"/>
    <w:rsid w:val="0072140C"/>
    <w:rsid w:val="00725C12"/>
    <w:rsid w:val="00730B85"/>
    <w:rsid w:val="00753665"/>
    <w:rsid w:val="00771C16"/>
    <w:rsid w:val="00772C2A"/>
    <w:rsid w:val="00777D8B"/>
    <w:rsid w:val="00796911"/>
    <w:rsid w:val="007A09DE"/>
    <w:rsid w:val="007A1745"/>
    <w:rsid w:val="007B32FE"/>
    <w:rsid w:val="007B4978"/>
    <w:rsid w:val="007C2217"/>
    <w:rsid w:val="007C2DBB"/>
    <w:rsid w:val="007C3A9D"/>
    <w:rsid w:val="007E4A6E"/>
    <w:rsid w:val="0080195B"/>
    <w:rsid w:val="00805763"/>
    <w:rsid w:val="008065B9"/>
    <w:rsid w:val="00807A0B"/>
    <w:rsid w:val="00814B53"/>
    <w:rsid w:val="00814D47"/>
    <w:rsid w:val="00824ED4"/>
    <w:rsid w:val="00826C08"/>
    <w:rsid w:val="00834BC1"/>
    <w:rsid w:val="0083515F"/>
    <w:rsid w:val="00836D2E"/>
    <w:rsid w:val="00843B14"/>
    <w:rsid w:val="00853185"/>
    <w:rsid w:val="00860600"/>
    <w:rsid w:val="00861A44"/>
    <w:rsid w:val="00861C24"/>
    <w:rsid w:val="00864275"/>
    <w:rsid w:val="00880B87"/>
    <w:rsid w:val="008847DC"/>
    <w:rsid w:val="00886BB7"/>
    <w:rsid w:val="0089045A"/>
    <w:rsid w:val="008B023C"/>
    <w:rsid w:val="008B385F"/>
    <w:rsid w:val="008C2566"/>
    <w:rsid w:val="008C5F66"/>
    <w:rsid w:val="008C6796"/>
    <w:rsid w:val="008C73B2"/>
    <w:rsid w:val="008C7FF2"/>
    <w:rsid w:val="008D08EF"/>
    <w:rsid w:val="008D3929"/>
    <w:rsid w:val="008E7540"/>
    <w:rsid w:val="008F20AD"/>
    <w:rsid w:val="008F50BE"/>
    <w:rsid w:val="008F5942"/>
    <w:rsid w:val="00902EC6"/>
    <w:rsid w:val="00903815"/>
    <w:rsid w:val="00906855"/>
    <w:rsid w:val="00912A10"/>
    <w:rsid w:val="009243AE"/>
    <w:rsid w:val="00932A48"/>
    <w:rsid w:val="009332FD"/>
    <w:rsid w:val="00940FDF"/>
    <w:rsid w:val="009456E6"/>
    <w:rsid w:val="00952FD4"/>
    <w:rsid w:val="00955466"/>
    <w:rsid w:val="00956B26"/>
    <w:rsid w:val="00956EFB"/>
    <w:rsid w:val="00960D9F"/>
    <w:rsid w:val="00961C88"/>
    <w:rsid w:val="009730A9"/>
    <w:rsid w:val="00995AED"/>
    <w:rsid w:val="00995F69"/>
    <w:rsid w:val="009A4463"/>
    <w:rsid w:val="009A72B7"/>
    <w:rsid w:val="009B6E5B"/>
    <w:rsid w:val="009C2754"/>
    <w:rsid w:val="009C38BC"/>
    <w:rsid w:val="009C3C0F"/>
    <w:rsid w:val="009C5B1D"/>
    <w:rsid w:val="009D0DDD"/>
    <w:rsid w:val="009D3233"/>
    <w:rsid w:val="009F34AA"/>
    <w:rsid w:val="009F5C6E"/>
    <w:rsid w:val="009F64BE"/>
    <w:rsid w:val="00A07B7F"/>
    <w:rsid w:val="00A07BDF"/>
    <w:rsid w:val="00A12587"/>
    <w:rsid w:val="00A125C3"/>
    <w:rsid w:val="00A1323E"/>
    <w:rsid w:val="00A156B2"/>
    <w:rsid w:val="00A254F5"/>
    <w:rsid w:val="00A32DCD"/>
    <w:rsid w:val="00A36647"/>
    <w:rsid w:val="00A36740"/>
    <w:rsid w:val="00A43FE7"/>
    <w:rsid w:val="00A443E2"/>
    <w:rsid w:val="00A46171"/>
    <w:rsid w:val="00A51571"/>
    <w:rsid w:val="00A5709F"/>
    <w:rsid w:val="00A6022B"/>
    <w:rsid w:val="00A61368"/>
    <w:rsid w:val="00A61915"/>
    <w:rsid w:val="00A6526A"/>
    <w:rsid w:val="00A75BBA"/>
    <w:rsid w:val="00A7757C"/>
    <w:rsid w:val="00A81FCD"/>
    <w:rsid w:val="00A8496A"/>
    <w:rsid w:val="00A85E2F"/>
    <w:rsid w:val="00A95782"/>
    <w:rsid w:val="00A97CF5"/>
    <w:rsid w:val="00AA0408"/>
    <w:rsid w:val="00AB00E8"/>
    <w:rsid w:val="00AC445E"/>
    <w:rsid w:val="00AC6201"/>
    <w:rsid w:val="00AD324A"/>
    <w:rsid w:val="00AD79A5"/>
    <w:rsid w:val="00AD7EA4"/>
    <w:rsid w:val="00AE0763"/>
    <w:rsid w:val="00AE33F3"/>
    <w:rsid w:val="00AE3A0A"/>
    <w:rsid w:val="00AF0BD0"/>
    <w:rsid w:val="00AF1296"/>
    <w:rsid w:val="00AF2CE5"/>
    <w:rsid w:val="00AF3C07"/>
    <w:rsid w:val="00AF648F"/>
    <w:rsid w:val="00B02B24"/>
    <w:rsid w:val="00B033E7"/>
    <w:rsid w:val="00B04633"/>
    <w:rsid w:val="00B04BBE"/>
    <w:rsid w:val="00B061D0"/>
    <w:rsid w:val="00B0635E"/>
    <w:rsid w:val="00B06CB1"/>
    <w:rsid w:val="00B06FD0"/>
    <w:rsid w:val="00B10F78"/>
    <w:rsid w:val="00B10FD0"/>
    <w:rsid w:val="00B120DA"/>
    <w:rsid w:val="00B21717"/>
    <w:rsid w:val="00B260DA"/>
    <w:rsid w:val="00B453E0"/>
    <w:rsid w:val="00B50267"/>
    <w:rsid w:val="00B53B4C"/>
    <w:rsid w:val="00B600DB"/>
    <w:rsid w:val="00B772D4"/>
    <w:rsid w:val="00B87995"/>
    <w:rsid w:val="00BA732F"/>
    <w:rsid w:val="00BB5C0F"/>
    <w:rsid w:val="00BC58E7"/>
    <w:rsid w:val="00BD1233"/>
    <w:rsid w:val="00BD1901"/>
    <w:rsid w:val="00BE09AD"/>
    <w:rsid w:val="00BE1846"/>
    <w:rsid w:val="00BF1FD6"/>
    <w:rsid w:val="00BF7618"/>
    <w:rsid w:val="00C02F2E"/>
    <w:rsid w:val="00C07DE0"/>
    <w:rsid w:val="00C105EF"/>
    <w:rsid w:val="00C12B5A"/>
    <w:rsid w:val="00C13F67"/>
    <w:rsid w:val="00C153E1"/>
    <w:rsid w:val="00C217CF"/>
    <w:rsid w:val="00C26A42"/>
    <w:rsid w:val="00C311F7"/>
    <w:rsid w:val="00C31E29"/>
    <w:rsid w:val="00C32BC5"/>
    <w:rsid w:val="00C331B6"/>
    <w:rsid w:val="00C36AF9"/>
    <w:rsid w:val="00C5199F"/>
    <w:rsid w:val="00C610C0"/>
    <w:rsid w:val="00C64398"/>
    <w:rsid w:val="00C7067F"/>
    <w:rsid w:val="00C73BB6"/>
    <w:rsid w:val="00C85F27"/>
    <w:rsid w:val="00C86004"/>
    <w:rsid w:val="00C90DA6"/>
    <w:rsid w:val="00CA2293"/>
    <w:rsid w:val="00CA291E"/>
    <w:rsid w:val="00CA3E0A"/>
    <w:rsid w:val="00CB1DC5"/>
    <w:rsid w:val="00CB306E"/>
    <w:rsid w:val="00CC3B01"/>
    <w:rsid w:val="00CD1909"/>
    <w:rsid w:val="00CD41BD"/>
    <w:rsid w:val="00CE06AF"/>
    <w:rsid w:val="00CE0D51"/>
    <w:rsid w:val="00CE53BD"/>
    <w:rsid w:val="00CE5A20"/>
    <w:rsid w:val="00CE6634"/>
    <w:rsid w:val="00CE6C8F"/>
    <w:rsid w:val="00CF1ADB"/>
    <w:rsid w:val="00CF1AFC"/>
    <w:rsid w:val="00CF3C0B"/>
    <w:rsid w:val="00CF456D"/>
    <w:rsid w:val="00D10322"/>
    <w:rsid w:val="00D139FF"/>
    <w:rsid w:val="00D13A1E"/>
    <w:rsid w:val="00D153EE"/>
    <w:rsid w:val="00D20265"/>
    <w:rsid w:val="00D2213E"/>
    <w:rsid w:val="00D332F2"/>
    <w:rsid w:val="00D363D5"/>
    <w:rsid w:val="00D53780"/>
    <w:rsid w:val="00D606D9"/>
    <w:rsid w:val="00D61DE1"/>
    <w:rsid w:val="00D63878"/>
    <w:rsid w:val="00D8052C"/>
    <w:rsid w:val="00D83A4C"/>
    <w:rsid w:val="00D87E5E"/>
    <w:rsid w:val="00D9463C"/>
    <w:rsid w:val="00D95061"/>
    <w:rsid w:val="00DA1299"/>
    <w:rsid w:val="00DA15AC"/>
    <w:rsid w:val="00DA234B"/>
    <w:rsid w:val="00DA47FA"/>
    <w:rsid w:val="00DB2700"/>
    <w:rsid w:val="00DC46C4"/>
    <w:rsid w:val="00DD417E"/>
    <w:rsid w:val="00DD69CD"/>
    <w:rsid w:val="00DD6A76"/>
    <w:rsid w:val="00DD7FE8"/>
    <w:rsid w:val="00DE3575"/>
    <w:rsid w:val="00DE5A00"/>
    <w:rsid w:val="00DE65D3"/>
    <w:rsid w:val="00DE76A3"/>
    <w:rsid w:val="00DF63E5"/>
    <w:rsid w:val="00E02F55"/>
    <w:rsid w:val="00E04A91"/>
    <w:rsid w:val="00E102CF"/>
    <w:rsid w:val="00E201D5"/>
    <w:rsid w:val="00E20A68"/>
    <w:rsid w:val="00E509EA"/>
    <w:rsid w:val="00E50CC2"/>
    <w:rsid w:val="00E57272"/>
    <w:rsid w:val="00E576A5"/>
    <w:rsid w:val="00E600E3"/>
    <w:rsid w:val="00E65BA3"/>
    <w:rsid w:val="00E66E2B"/>
    <w:rsid w:val="00E70282"/>
    <w:rsid w:val="00E72E74"/>
    <w:rsid w:val="00E7365A"/>
    <w:rsid w:val="00E94D50"/>
    <w:rsid w:val="00E96F18"/>
    <w:rsid w:val="00EA05B5"/>
    <w:rsid w:val="00EA0A3F"/>
    <w:rsid w:val="00EA3674"/>
    <w:rsid w:val="00EA757F"/>
    <w:rsid w:val="00EB3621"/>
    <w:rsid w:val="00EB48FE"/>
    <w:rsid w:val="00EB50E9"/>
    <w:rsid w:val="00EC1D14"/>
    <w:rsid w:val="00EC1F95"/>
    <w:rsid w:val="00EC2C25"/>
    <w:rsid w:val="00EC5ADF"/>
    <w:rsid w:val="00EC64FB"/>
    <w:rsid w:val="00ED79AC"/>
    <w:rsid w:val="00EE44F9"/>
    <w:rsid w:val="00EE4A94"/>
    <w:rsid w:val="00EF220E"/>
    <w:rsid w:val="00F01560"/>
    <w:rsid w:val="00F04152"/>
    <w:rsid w:val="00F056B6"/>
    <w:rsid w:val="00F14F7A"/>
    <w:rsid w:val="00F2107E"/>
    <w:rsid w:val="00F2128E"/>
    <w:rsid w:val="00F2169D"/>
    <w:rsid w:val="00F26837"/>
    <w:rsid w:val="00F3602A"/>
    <w:rsid w:val="00F43FB4"/>
    <w:rsid w:val="00F47763"/>
    <w:rsid w:val="00F52AE0"/>
    <w:rsid w:val="00F54A3E"/>
    <w:rsid w:val="00F60E80"/>
    <w:rsid w:val="00F63865"/>
    <w:rsid w:val="00F71F07"/>
    <w:rsid w:val="00F80FDE"/>
    <w:rsid w:val="00F90E3B"/>
    <w:rsid w:val="00F92185"/>
    <w:rsid w:val="00F9794D"/>
    <w:rsid w:val="00FA6722"/>
    <w:rsid w:val="00FA7B7E"/>
    <w:rsid w:val="00FB44B8"/>
    <w:rsid w:val="00FC03F0"/>
    <w:rsid w:val="00FC1B70"/>
    <w:rsid w:val="00FC218E"/>
    <w:rsid w:val="00FD107D"/>
    <w:rsid w:val="00FD2700"/>
    <w:rsid w:val="00FD4529"/>
    <w:rsid w:val="00FD4CAC"/>
    <w:rsid w:val="00FD685C"/>
    <w:rsid w:val="00FE2F77"/>
    <w:rsid w:val="00FE5406"/>
    <w:rsid w:val="00FF0C3C"/>
    <w:rsid w:val="00FF471C"/>
    <w:rsid w:val="00FF49A4"/>
    <w:rsid w:val="00FF57EA"/>
    <w:rsid w:val="00FF6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2169D"/>
    <w:rPr>
      <w:sz w:val="22"/>
      <w:lang w:val="en-GB" w:eastAsia="fr-BE"/>
    </w:rPr>
  </w:style>
  <w:style w:type="paragraph" w:styleId="Heading1">
    <w:name w:val="heading 1"/>
    <w:basedOn w:val="Normal"/>
    <w:next w:val="Normal"/>
    <w:link w:val="Heading1Char"/>
    <w:uiPriority w:val="9"/>
    <w:qFormat/>
    <w:rsid w:val="00E7365A"/>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unhideWhenUsed/>
    <w:qFormat/>
    <w:rsid w:val="00E7365A"/>
    <w:pPr>
      <w:keepNext/>
      <w:numPr>
        <w:numId w:val="1"/>
      </w:numPr>
      <w:ind w:left="360"/>
      <w:outlineLvl w:val="1"/>
    </w:pPr>
    <w:rPr>
      <w:rFonts w:eastAsia="Times New Roman"/>
      <w:b/>
      <w:bCs/>
      <w:iCs/>
      <w:color w:val="005A24"/>
      <w:sz w:val="24"/>
      <w:szCs w:val="28"/>
    </w:rPr>
  </w:style>
  <w:style w:type="paragraph" w:styleId="Heading3">
    <w:name w:val="heading 3"/>
    <w:aliases w:val="Conclusion"/>
    <w:basedOn w:val="Normal"/>
    <w:next w:val="Normal"/>
    <w:link w:val="Heading3Char"/>
    <w:uiPriority w:val="9"/>
    <w:unhideWhenUsed/>
    <w:qFormat/>
    <w:rsid w:val="00E7365A"/>
    <w:pPr>
      <w:keepNext/>
      <w:framePr w:wrap="around" w:vAnchor="text" w:hAnchor="text" w:y="1"/>
      <w:pBdr>
        <w:top w:val="single" w:sz="24" w:space="4" w:color="0D1957"/>
        <w:left w:val="single" w:sz="24" w:space="4" w:color="0D1957"/>
        <w:bottom w:val="single" w:sz="24" w:space="4" w:color="0D1957"/>
        <w:right w:val="single" w:sz="24" w:space="4" w:color="0D1957"/>
      </w:pBdr>
      <w:outlineLvl w:val="2"/>
    </w:pPr>
    <w:rPr>
      <w:rFonts w:eastAsia="Times New Roman"/>
      <w:b/>
      <w:bCs/>
      <w:color w:val="0D195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365A"/>
    <w:rPr>
      <w:rFonts w:eastAsia="Times New Roman"/>
      <w:b/>
      <w:bCs/>
      <w:color w:val="0D1957"/>
      <w:kern w:val="32"/>
      <w:sz w:val="28"/>
      <w:szCs w:val="32"/>
    </w:rPr>
  </w:style>
  <w:style w:type="character" w:customStyle="1" w:styleId="Heading2Char">
    <w:name w:val="Heading 2 Char"/>
    <w:link w:val="Heading2"/>
    <w:uiPriority w:val="9"/>
    <w:rsid w:val="00E7365A"/>
    <w:rPr>
      <w:rFonts w:eastAsia="Times New Roman"/>
      <w:b/>
      <w:bCs/>
      <w:iCs/>
      <w:color w:val="005A24"/>
      <w:sz w:val="24"/>
      <w:szCs w:val="28"/>
    </w:rPr>
  </w:style>
  <w:style w:type="character" w:customStyle="1" w:styleId="Heading3Char">
    <w:name w:val="Heading 3 Char"/>
    <w:aliases w:val="Conclusion Char"/>
    <w:link w:val="Heading3"/>
    <w:uiPriority w:val="9"/>
    <w:rsid w:val="00E7365A"/>
    <w:rPr>
      <w:rFonts w:eastAsia="Times New Roman"/>
      <w:b/>
      <w:bCs/>
      <w:color w:val="0D1957"/>
      <w:sz w:val="22"/>
      <w:szCs w:val="26"/>
    </w:rPr>
  </w:style>
  <w:style w:type="character" w:styleId="Hyperlink">
    <w:name w:val="Hyperlink"/>
    <w:uiPriority w:val="99"/>
    <w:unhideWhenUsed/>
    <w:rsid w:val="003D559F"/>
    <w:rPr>
      <w:color w:val="0563C1"/>
      <w:u w:val="single"/>
    </w:rPr>
  </w:style>
  <w:style w:type="paragraph" w:styleId="ListParagraph">
    <w:name w:val="List Paragraph"/>
    <w:basedOn w:val="Normal"/>
    <w:uiPriority w:val="34"/>
    <w:qFormat/>
    <w:rsid w:val="00C26A42"/>
    <w:pPr>
      <w:ind w:left="720"/>
    </w:pPr>
  </w:style>
  <w:style w:type="paragraph" w:styleId="Header">
    <w:name w:val="header"/>
    <w:basedOn w:val="Normal"/>
    <w:link w:val="HeaderChar"/>
    <w:uiPriority w:val="99"/>
    <w:unhideWhenUsed/>
    <w:rsid w:val="00D332F2"/>
    <w:pPr>
      <w:tabs>
        <w:tab w:val="center" w:pos="4513"/>
        <w:tab w:val="right" w:pos="9026"/>
      </w:tabs>
    </w:pPr>
  </w:style>
  <w:style w:type="character" w:customStyle="1" w:styleId="HeaderChar">
    <w:name w:val="Header Char"/>
    <w:link w:val="Header"/>
    <w:uiPriority w:val="99"/>
    <w:rsid w:val="00D332F2"/>
    <w:rPr>
      <w:sz w:val="22"/>
      <w:lang w:val="fr-BE" w:eastAsia="fr-BE"/>
    </w:rPr>
  </w:style>
  <w:style w:type="paragraph" w:styleId="Footer">
    <w:name w:val="footer"/>
    <w:basedOn w:val="Normal"/>
    <w:link w:val="FooterChar"/>
    <w:uiPriority w:val="99"/>
    <w:unhideWhenUsed/>
    <w:rsid w:val="00D332F2"/>
    <w:pPr>
      <w:tabs>
        <w:tab w:val="center" w:pos="4513"/>
        <w:tab w:val="right" w:pos="9026"/>
      </w:tabs>
    </w:pPr>
  </w:style>
  <w:style w:type="character" w:customStyle="1" w:styleId="FooterChar">
    <w:name w:val="Footer Char"/>
    <w:link w:val="Footer"/>
    <w:uiPriority w:val="99"/>
    <w:rsid w:val="00D332F2"/>
    <w:rPr>
      <w:sz w:val="22"/>
      <w:lang w:val="fr-BE" w:eastAsia="fr-BE"/>
    </w:rPr>
  </w:style>
  <w:style w:type="table" w:styleId="TableGrid">
    <w:name w:val="Table Grid"/>
    <w:basedOn w:val="TableNormal"/>
    <w:uiPriority w:val="59"/>
    <w:rsid w:val="00D33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0A6E81"/>
    <w:rPr>
      <w:color w:val="954F72"/>
      <w:u w:val="single"/>
    </w:rPr>
  </w:style>
  <w:style w:type="character" w:styleId="Emphasis">
    <w:name w:val="Emphasis"/>
    <w:basedOn w:val="DefaultParagraphFont"/>
    <w:uiPriority w:val="20"/>
    <w:qFormat/>
    <w:rsid w:val="0089045A"/>
    <w:rPr>
      <w:i/>
      <w:iCs/>
    </w:rPr>
  </w:style>
  <w:style w:type="paragraph" w:styleId="BalloonText">
    <w:name w:val="Balloon Text"/>
    <w:basedOn w:val="Normal"/>
    <w:link w:val="BalloonTextChar"/>
    <w:uiPriority w:val="99"/>
    <w:semiHidden/>
    <w:unhideWhenUsed/>
    <w:rsid w:val="00690B1C"/>
    <w:rPr>
      <w:rFonts w:ascii="Tahoma" w:hAnsi="Tahoma" w:cs="Tahoma"/>
      <w:sz w:val="16"/>
      <w:szCs w:val="16"/>
    </w:rPr>
  </w:style>
  <w:style w:type="character" w:customStyle="1" w:styleId="BalloonTextChar">
    <w:name w:val="Balloon Text Char"/>
    <w:basedOn w:val="DefaultParagraphFont"/>
    <w:link w:val="BalloonText"/>
    <w:uiPriority w:val="99"/>
    <w:semiHidden/>
    <w:rsid w:val="00690B1C"/>
    <w:rPr>
      <w:rFonts w:ascii="Tahoma" w:hAnsi="Tahoma" w:cs="Tahoma"/>
      <w:sz w:val="16"/>
      <w:szCs w:val="16"/>
      <w:lang w:val="en-GB"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2169D"/>
    <w:rPr>
      <w:sz w:val="22"/>
      <w:lang w:val="en-GB" w:eastAsia="fr-BE"/>
    </w:rPr>
  </w:style>
  <w:style w:type="paragraph" w:styleId="Heading1">
    <w:name w:val="heading 1"/>
    <w:basedOn w:val="Normal"/>
    <w:next w:val="Normal"/>
    <w:link w:val="Heading1Char"/>
    <w:uiPriority w:val="9"/>
    <w:qFormat/>
    <w:rsid w:val="00E7365A"/>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unhideWhenUsed/>
    <w:qFormat/>
    <w:rsid w:val="00E7365A"/>
    <w:pPr>
      <w:keepNext/>
      <w:numPr>
        <w:numId w:val="1"/>
      </w:numPr>
      <w:ind w:left="360"/>
      <w:outlineLvl w:val="1"/>
    </w:pPr>
    <w:rPr>
      <w:rFonts w:eastAsia="Times New Roman"/>
      <w:b/>
      <w:bCs/>
      <w:iCs/>
      <w:color w:val="005A24"/>
      <w:sz w:val="24"/>
      <w:szCs w:val="28"/>
    </w:rPr>
  </w:style>
  <w:style w:type="paragraph" w:styleId="Heading3">
    <w:name w:val="heading 3"/>
    <w:aliases w:val="Conclusion"/>
    <w:basedOn w:val="Normal"/>
    <w:next w:val="Normal"/>
    <w:link w:val="Heading3Char"/>
    <w:uiPriority w:val="9"/>
    <w:unhideWhenUsed/>
    <w:qFormat/>
    <w:rsid w:val="00E7365A"/>
    <w:pPr>
      <w:keepNext/>
      <w:framePr w:wrap="around" w:vAnchor="text" w:hAnchor="text" w:y="1"/>
      <w:pBdr>
        <w:top w:val="single" w:sz="24" w:space="4" w:color="0D1957"/>
        <w:left w:val="single" w:sz="24" w:space="4" w:color="0D1957"/>
        <w:bottom w:val="single" w:sz="24" w:space="4" w:color="0D1957"/>
        <w:right w:val="single" w:sz="24" w:space="4" w:color="0D1957"/>
      </w:pBdr>
      <w:outlineLvl w:val="2"/>
    </w:pPr>
    <w:rPr>
      <w:rFonts w:eastAsia="Times New Roman"/>
      <w:b/>
      <w:bCs/>
      <w:color w:val="0D195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365A"/>
    <w:rPr>
      <w:rFonts w:eastAsia="Times New Roman"/>
      <w:b/>
      <w:bCs/>
      <w:color w:val="0D1957"/>
      <w:kern w:val="32"/>
      <w:sz w:val="28"/>
      <w:szCs w:val="32"/>
    </w:rPr>
  </w:style>
  <w:style w:type="character" w:customStyle="1" w:styleId="Heading2Char">
    <w:name w:val="Heading 2 Char"/>
    <w:link w:val="Heading2"/>
    <w:uiPriority w:val="9"/>
    <w:rsid w:val="00E7365A"/>
    <w:rPr>
      <w:rFonts w:eastAsia="Times New Roman"/>
      <w:b/>
      <w:bCs/>
      <w:iCs/>
      <w:color w:val="005A24"/>
      <w:sz w:val="24"/>
      <w:szCs w:val="28"/>
    </w:rPr>
  </w:style>
  <w:style w:type="character" w:customStyle="1" w:styleId="Heading3Char">
    <w:name w:val="Heading 3 Char"/>
    <w:aliases w:val="Conclusion Char"/>
    <w:link w:val="Heading3"/>
    <w:uiPriority w:val="9"/>
    <w:rsid w:val="00E7365A"/>
    <w:rPr>
      <w:rFonts w:eastAsia="Times New Roman"/>
      <w:b/>
      <w:bCs/>
      <w:color w:val="0D1957"/>
      <w:sz w:val="22"/>
      <w:szCs w:val="26"/>
    </w:rPr>
  </w:style>
  <w:style w:type="character" w:styleId="Hyperlink">
    <w:name w:val="Hyperlink"/>
    <w:uiPriority w:val="99"/>
    <w:unhideWhenUsed/>
    <w:rsid w:val="003D559F"/>
    <w:rPr>
      <w:color w:val="0563C1"/>
      <w:u w:val="single"/>
    </w:rPr>
  </w:style>
  <w:style w:type="paragraph" w:styleId="ListParagraph">
    <w:name w:val="List Paragraph"/>
    <w:basedOn w:val="Normal"/>
    <w:uiPriority w:val="34"/>
    <w:qFormat/>
    <w:rsid w:val="00C26A42"/>
    <w:pPr>
      <w:ind w:left="720"/>
    </w:pPr>
  </w:style>
  <w:style w:type="paragraph" w:styleId="Header">
    <w:name w:val="header"/>
    <w:basedOn w:val="Normal"/>
    <w:link w:val="HeaderChar"/>
    <w:uiPriority w:val="99"/>
    <w:unhideWhenUsed/>
    <w:rsid w:val="00D332F2"/>
    <w:pPr>
      <w:tabs>
        <w:tab w:val="center" w:pos="4513"/>
        <w:tab w:val="right" w:pos="9026"/>
      </w:tabs>
    </w:pPr>
  </w:style>
  <w:style w:type="character" w:customStyle="1" w:styleId="HeaderChar">
    <w:name w:val="Header Char"/>
    <w:link w:val="Header"/>
    <w:uiPriority w:val="99"/>
    <w:rsid w:val="00D332F2"/>
    <w:rPr>
      <w:sz w:val="22"/>
      <w:lang w:val="fr-BE" w:eastAsia="fr-BE"/>
    </w:rPr>
  </w:style>
  <w:style w:type="paragraph" w:styleId="Footer">
    <w:name w:val="footer"/>
    <w:basedOn w:val="Normal"/>
    <w:link w:val="FooterChar"/>
    <w:uiPriority w:val="99"/>
    <w:unhideWhenUsed/>
    <w:rsid w:val="00D332F2"/>
    <w:pPr>
      <w:tabs>
        <w:tab w:val="center" w:pos="4513"/>
        <w:tab w:val="right" w:pos="9026"/>
      </w:tabs>
    </w:pPr>
  </w:style>
  <w:style w:type="character" w:customStyle="1" w:styleId="FooterChar">
    <w:name w:val="Footer Char"/>
    <w:link w:val="Footer"/>
    <w:uiPriority w:val="99"/>
    <w:rsid w:val="00D332F2"/>
    <w:rPr>
      <w:sz w:val="22"/>
      <w:lang w:val="fr-BE" w:eastAsia="fr-BE"/>
    </w:rPr>
  </w:style>
  <w:style w:type="table" w:styleId="TableGrid">
    <w:name w:val="Table Grid"/>
    <w:basedOn w:val="TableNormal"/>
    <w:uiPriority w:val="59"/>
    <w:rsid w:val="00D33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0A6E81"/>
    <w:rPr>
      <w:color w:val="954F72"/>
      <w:u w:val="single"/>
    </w:rPr>
  </w:style>
  <w:style w:type="character" w:styleId="Emphasis">
    <w:name w:val="Emphasis"/>
    <w:basedOn w:val="DefaultParagraphFont"/>
    <w:uiPriority w:val="20"/>
    <w:qFormat/>
    <w:rsid w:val="0089045A"/>
    <w:rPr>
      <w:i/>
      <w:iCs/>
    </w:rPr>
  </w:style>
  <w:style w:type="paragraph" w:styleId="BalloonText">
    <w:name w:val="Balloon Text"/>
    <w:basedOn w:val="Normal"/>
    <w:link w:val="BalloonTextChar"/>
    <w:uiPriority w:val="99"/>
    <w:semiHidden/>
    <w:unhideWhenUsed/>
    <w:rsid w:val="00690B1C"/>
    <w:rPr>
      <w:rFonts w:ascii="Tahoma" w:hAnsi="Tahoma" w:cs="Tahoma"/>
      <w:sz w:val="16"/>
      <w:szCs w:val="16"/>
    </w:rPr>
  </w:style>
  <w:style w:type="character" w:customStyle="1" w:styleId="BalloonTextChar">
    <w:name w:val="Balloon Text Char"/>
    <w:basedOn w:val="DefaultParagraphFont"/>
    <w:link w:val="BalloonText"/>
    <w:uiPriority w:val="99"/>
    <w:semiHidden/>
    <w:rsid w:val="00690B1C"/>
    <w:rPr>
      <w:rFonts w:ascii="Tahoma" w:hAnsi="Tahoma" w:cs="Tahoma"/>
      <w:sz w:val="16"/>
      <w:szCs w:val="16"/>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71873">
      <w:bodyDiv w:val="1"/>
      <w:marLeft w:val="0"/>
      <w:marRight w:val="0"/>
      <w:marTop w:val="0"/>
      <w:marBottom w:val="0"/>
      <w:divBdr>
        <w:top w:val="none" w:sz="0" w:space="0" w:color="auto"/>
        <w:left w:val="none" w:sz="0" w:space="0" w:color="auto"/>
        <w:bottom w:val="none" w:sz="0" w:space="0" w:color="auto"/>
        <w:right w:val="none" w:sz="0" w:space="0" w:color="auto"/>
      </w:divBdr>
    </w:div>
    <w:div w:id="879706022">
      <w:bodyDiv w:val="1"/>
      <w:marLeft w:val="0"/>
      <w:marRight w:val="0"/>
      <w:marTop w:val="0"/>
      <w:marBottom w:val="0"/>
      <w:divBdr>
        <w:top w:val="none" w:sz="0" w:space="0" w:color="auto"/>
        <w:left w:val="none" w:sz="0" w:space="0" w:color="auto"/>
        <w:bottom w:val="none" w:sz="0" w:space="0" w:color="auto"/>
        <w:right w:val="none" w:sz="0" w:space="0" w:color="auto"/>
      </w:divBdr>
    </w:div>
    <w:div w:id="1215503192">
      <w:bodyDiv w:val="1"/>
      <w:marLeft w:val="0"/>
      <w:marRight w:val="0"/>
      <w:marTop w:val="0"/>
      <w:marBottom w:val="0"/>
      <w:divBdr>
        <w:top w:val="none" w:sz="0" w:space="0" w:color="auto"/>
        <w:left w:val="none" w:sz="0" w:space="0" w:color="auto"/>
        <w:bottom w:val="none" w:sz="0" w:space="0" w:color="auto"/>
        <w:right w:val="none" w:sz="0" w:space="0" w:color="auto"/>
      </w:divBdr>
    </w:div>
    <w:div w:id="1380084912">
      <w:bodyDiv w:val="1"/>
      <w:marLeft w:val="0"/>
      <w:marRight w:val="0"/>
      <w:marTop w:val="0"/>
      <w:marBottom w:val="0"/>
      <w:divBdr>
        <w:top w:val="none" w:sz="0" w:space="0" w:color="auto"/>
        <w:left w:val="none" w:sz="0" w:space="0" w:color="auto"/>
        <w:bottom w:val="none" w:sz="0" w:space="0" w:color="auto"/>
        <w:right w:val="none" w:sz="0" w:space="0" w:color="auto"/>
      </w:divBdr>
    </w:div>
    <w:div w:id="187788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familystudy.eu/" TargetMode="External"/><Relationship Id="rId18" Type="http://schemas.openxmlformats.org/officeDocument/2006/relationships/hyperlink" Target="http://ec.europa.eu/health/sites/health/files/nutrition_physical_activity/docs/ev_20170309_co03_e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ec.europa.eu/health/sites/health/files/nutrition_physical_activity/docs/ev_20170309_co10_en.pdf" TargetMode="External"/><Relationship Id="rId17" Type="http://schemas.openxmlformats.org/officeDocument/2006/relationships/hyperlink" Target="http://ec.europa.eu/health/sites/health/files/nutrition_physical_activity/docs/ev_20170309_co05_en.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ec.europa.eu/health/sites/health/files/nutrition_physical_activity/docs/ev_20170309_co07_en.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health/sites/health/files/nutrition_physical_activity/docs/ev_20170309_co12_en.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ec.europa.eu/health/sites/health/files/nutrition_physical_activity/docs/ev_20170309_co08_en.pdf" TargetMode="External"/><Relationship Id="rId23" Type="http://schemas.openxmlformats.org/officeDocument/2006/relationships/footer" Target="footer2.xml"/><Relationship Id="rId10" Type="http://schemas.openxmlformats.org/officeDocument/2006/relationships/hyperlink" Target="http://ec.europa.eu/health/nutrition_physical_activity/events/ev_20170309_en" TargetMode="External"/><Relationship Id="rId19" Type="http://schemas.openxmlformats.org/officeDocument/2006/relationships/hyperlink" Target="http://ec.europa.eu/health/sites/health/files/nutrition_physical_activity/docs/ev_20170309_co02_en.pdf" TargetMode="External"/><Relationship Id="rId4" Type="http://schemas.microsoft.com/office/2007/relationships/stylesWithEffects" Target="stylesWithEffects.xml"/><Relationship Id="rId9" Type="http://schemas.openxmlformats.org/officeDocument/2006/relationships/hyperlink" Target="http://ec.europa.eu/health/nutrition_physical_activity/events/ev_20170308_en" TargetMode="External"/><Relationship Id="rId14" Type="http://schemas.openxmlformats.org/officeDocument/2006/relationships/hyperlink" Target="http://ec.europa.eu/health/sites/health/files/nutrition_physical_activity/docs/ev_20170309_co09_en.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E7E09-2F61-42AE-9E0A-2A00F8CA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4250</Words>
  <Characters>23478</Characters>
  <Application>Microsoft Office Word</Application>
  <DocSecurity>0</DocSecurity>
  <Lines>484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Lamonaca</dc:creator>
  <cp:keywords/>
  <cp:lastModifiedBy>Windows User</cp:lastModifiedBy>
  <cp:revision>2</cp:revision>
  <dcterms:created xsi:type="dcterms:W3CDTF">2017-03-17T10:01:00Z</dcterms:created>
  <dcterms:modified xsi:type="dcterms:W3CDTF">2017-03-17T10:01:00Z</dcterms:modified>
</cp:coreProperties>
</file>