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EA4204C" w14:textId="2877F0CB" w:rsidR="003E2F9B" w:rsidRPr="003E2F9B" w:rsidRDefault="00FC49AB" w:rsidP="003E2F9B">
      <w:pPr>
        <w:spacing w:line="0" w:lineRule="atLeast"/>
        <w:jc w:val="center"/>
        <w:rPr>
          <w:rFonts w:ascii="Arial" w:eastAsia="Arial" w:hAnsi="Arial"/>
          <w:color w:val="0070C0"/>
          <w:sz w:val="32"/>
          <w:szCs w:val="32"/>
        </w:rPr>
      </w:pPr>
      <w:bookmarkStart w:id="0" w:name="_GoBack"/>
      <w:bookmarkEnd w:id="0"/>
      <w:r>
        <w:rPr>
          <w:rFonts w:ascii="Arial" w:eastAsia="Arial" w:hAnsi="Arial"/>
          <w:color w:val="0070C0"/>
          <w:sz w:val="32"/>
          <w:szCs w:val="32"/>
        </w:rPr>
        <w:t xml:space="preserve">DRAFT </w:t>
      </w:r>
      <w:r w:rsidR="003E2F9B" w:rsidRPr="003E2F9B">
        <w:rPr>
          <w:rFonts w:ascii="Arial" w:eastAsia="Arial" w:hAnsi="Arial"/>
          <w:color w:val="0070C0"/>
          <w:sz w:val="32"/>
          <w:szCs w:val="32"/>
        </w:rPr>
        <w:t>AGENDA w</w:t>
      </w:r>
      <w:r w:rsidR="003E2F9B">
        <w:rPr>
          <w:rFonts w:ascii="Arial" w:eastAsia="Arial" w:hAnsi="Arial"/>
          <w:color w:val="0070C0"/>
          <w:sz w:val="32"/>
          <w:szCs w:val="32"/>
        </w:rPr>
        <w:t>.</w:t>
      </w:r>
      <w:r w:rsidR="00605DCC">
        <w:rPr>
          <w:rFonts w:ascii="Arial" w:eastAsia="Arial" w:hAnsi="Arial"/>
          <w:color w:val="0070C0"/>
          <w:sz w:val="32"/>
          <w:szCs w:val="32"/>
        </w:rPr>
        <w:t xml:space="preserve"> FoodDrinkEurope</w:t>
      </w:r>
      <w:r w:rsidR="003E2F9B" w:rsidRPr="003E2F9B">
        <w:rPr>
          <w:rFonts w:ascii="Arial" w:eastAsia="Arial" w:hAnsi="Arial"/>
          <w:color w:val="0070C0"/>
          <w:sz w:val="32"/>
          <w:szCs w:val="32"/>
        </w:rPr>
        <w:t xml:space="preserve"> </w:t>
      </w:r>
      <w:r>
        <w:rPr>
          <w:rFonts w:ascii="Arial" w:eastAsia="Arial" w:hAnsi="Arial"/>
          <w:color w:val="0070C0"/>
          <w:sz w:val="32"/>
          <w:szCs w:val="32"/>
        </w:rPr>
        <w:t>preparatory</w:t>
      </w:r>
      <w:r w:rsidR="003E2F9B" w:rsidRPr="003E2F9B">
        <w:rPr>
          <w:rFonts w:ascii="Arial" w:eastAsia="Arial" w:hAnsi="Arial"/>
          <w:color w:val="0070C0"/>
          <w:sz w:val="32"/>
          <w:szCs w:val="32"/>
        </w:rPr>
        <w:t xml:space="preserve"> comments</w:t>
      </w:r>
    </w:p>
    <w:p w14:paraId="1977B73D" w14:textId="77777777" w:rsidR="003E2F9B" w:rsidRDefault="003E2F9B">
      <w:pPr>
        <w:spacing w:line="0" w:lineRule="atLeast"/>
        <w:jc w:val="right"/>
        <w:rPr>
          <w:rFonts w:ascii="Arial" w:eastAsia="Arial" w:hAnsi="Arial"/>
          <w:sz w:val="16"/>
        </w:rPr>
      </w:pPr>
    </w:p>
    <w:p w14:paraId="20BD5868" w14:textId="77777777" w:rsidR="005E5006" w:rsidRDefault="005E5006">
      <w:pPr>
        <w:spacing w:line="0" w:lineRule="atLeast"/>
        <w:jc w:val="right"/>
        <w:rPr>
          <w:rFonts w:ascii="Arial" w:eastAsia="Arial" w:hAnsi="Arial"/>
          <w:sz w:val="16"/>
        </w:rPr>
      </w:pPr>
      <w:r>
        <w:rPr>
          <w:rFonts w:ascii="Arial" w:eastAsia="Arial" w:hAnsi="Arial"/>
          <w:sz w:val="16"/>
        </w:rPr>
        <w:t>Ref. Ares(2017)984623 - 23/02/2017</w:t>
      </w:r>
    </w:p>
    <w:p w14:paraId="1AF55EEE" w14:textId="18328850" w:rsidR="005E5006" w:rsidRDefault="006C510F">
      <w:pPr>
        <w:spacing w:line="272" w:lineRule="exact"/>
        <w:rPr>
          <w:rFonts w:ascii="Times New Roman" w:eastAsia="Times New Roman" w:hAnsi="Times New Roman"/>
          <w:sz w:val="24"/>
        </w:rPr>
      </w:pPr>
      <w:r>
        <w:rPr>
          <w:rFonts w:ascii="Arial" w:eastAsia="Arial" w:hAnsi="Arial"/>
          <w:noProof/>
          <w:sz w:val="16"/>
          <w:lang w:val="fr-BE" w:eastAsia="fr-BE"/>
        </w:rPr>
        <w:drawing>
          <wp:anchor distT="0" distB="0" distL="114300" distR="114300" simplePos="0" relativeHeight="251655680" behindDoc="1" locked="0" layoutInCell="0" allowOverlap="1" wp14:anchorId="44F5E697" wp14:editId="648D34E1">
            <wp:simplePos x="0" y="0"/>
            <wp:positionH relativeFrom="column">
              <wp:posOffset>93980</wp:posOffset>
            </wp:positionH>
            <wp:positionV relativeFrom="paragraph">
              <wp:posOffset>118110</wp:posOffset>
            </wp:positionV>
            <wp:extent cx="1371600" cy="67691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6769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6"/>
          <w:lang w:val="fr-BE" w:eastAsia="fr-BE"/>
        </w:rPr>
        <w:drawing>
          <wp:anchor distT="0" distB="0" distL="114300" distR="114300" simplePos="0" relativeHeight="251656704" behindDoc="1" locked="0" layoutInCell="0" allowOverlap="1" wp14:anchorId="289C0553" wp14:editId="757618B6">
            <wp:simplePos x="0" y="0"/>
            <wp:positionH relativeFrom="column">
              <wp:posOffset>4572000</wp:posOffset>
            </wp:positionH>
            <wp:positionV relativeFrom="paragraph">
              <wp:posOffset>-109855</wp:posOffset>
            </wp:positionV>
            <wp:extent cx="165100" cy="11430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100" cy="114300"/>
                    </a:xfrm>
                    <a:prstGeom prst="rect">
                      <a:avLst/>
                    </a:prstGeom>
                    <a:noFill/>
                  </pic:spPr>
                </pic:pic>
              </a:graphicData>
            </a:graphic>
            <wp14:sizeRelH relativeFrom="page">
              <wp14:pctWidth>0</wp14:pctWidth>
            </wp14:sizeRelH>
            <wp14:sizeRelV relativeFrom="page">
              <wp14:pctHeight>0</wp14:pctHeight>
            </wp14:sizeRelV>
          </wp:anchor>
        </w:drawing>
      </w:r>
    </w:p>
    <w:p w14:paraId="52479F6F" w14:textId="77777777" w:rsidR="005E5006" w:rsidRDefault="005E5006">
      <w:pPr>
        <w:spacing w:line="0" w:lineRule="atLeast"/>
        <w:ind w:left="2520"/>
        <w:rPr>
          <w:rFonts w:ascii="Arial" w:eastAsia="Arial" w:hAnsi="Arial"/>
          <w:sz w:val="24"/>
        </w:rPr>
      </w:pPr>
      <w:r>
        <w:rPr>
          <w:rFonts w:ascii="Arial" w:eastAsia="Arial" w:hAnsi="Arial"/>
          <w:sz w:val="24"/>
        </w:rPr>
        <w:t>EUROPEAN COMMISSION</w:t>
      </w:r>
    </w:p>
    <w:p w14:paraId="20BC5066" w14:textId="77777777" w:rsidR="005E5006" w:rsidRDefault="005E5006">
      <w:pPr>
        <w:spacing w:line="239" w:lineRule="auto"/>
        <w:ind w:left="2520"/>
        <w:rPr>
          <w:rFonts w:ascii="Arial" w:eastAsia="Arial" w:hAnsi="Arial"/>
          <w:sz w:val="16"/>
        </w:rPr>
      </w:pPr>
      <w:r>
        <w:rPr>
          <w:rFonts w:ascii="Arial" w:eastAsia="Arial" w:hAnsi="Arial"/>
          <w:sz w:val="16"/>
        </w:rPr>
        <w:t>DIRECTORATE-GENERAL FOR AGRICULTURE AND RURAL DEVELOPMENT</w:t>
      </w:r>
    </w:p>
    <w:p w14:paraId="7365222F" w14:textId="77777777" w:rsidR="005E5006" w:rsidRDefault="005E5006">
      <w:pPr>
        <w:spacing w:line="185" w:lineRule="exact"/>
        <w:rPr>
          <w:rFonts w:ascii="Times New Roman" w:eastAsia="Times New Roman" w:hAnsi="Times New Roman"/>
          <w:sz w:val="24"/>
        </w:rPr>
      </w:pPr>
    </w:p>
    <w:p w14:paraId="09DD49B5" w14:textId="77777777" w:rsidR="005E5006" w:rsidRDefault="005E5006">
      <w:pPr>
        <w:spacing w:line="0" w:lineRule="atLeast"/>
        <w:ind w:left="2520"/>
        <w:rPr>
          <w:rFonts w:ascii="Arial" w:eastAsia="Arial" w:hAnsi="Arial"/>
          <w:sz w:val="16"/>
        </w:rPr>
      </w:pPr>
      <w:r>
        <w:rPr>
          <w:rFonts w:ascii="Arial" w:eastAsia="Arial" w:hAnsi="Arial"/>
          <w:sz w:val="16"/>
        </w:rPr>
        <w:t>Directorate I. Legal, institutional and procedural matters</w:t>
      </w:r>
    </w:p>
    <w:p w14:paraId="09615623" w14:textId="77777777" w:rsidR="005E5006" w:rsidRDefault="005E5006">
      <w:pPr>
        <w:spacing w:line="239" w:lineRule="auto"/>
        <w:ind w:left="2520"/>
        <w:rPr>
          <w:rFonts w:ascii="Arial" w:eastAsia="Arial" w:hAnsi="Arial"/>
          <w:b/>
          <w:sz w:val="16"/>
        </w:rPr>
      </w:pPr>
      <w:r>
        <w:rPr>
          <w:rFonts w:ascii="Arial" w:eastAsia="Arial" w:hAnsi="Arial"/>
          <w:b/>
          <w:sz w:val="16"/>
        </w:rPr>
        <w:t>I.4. Adoption procedures, committees, expert groups and civil dialogue groups</w:t>
      </w:r>
    </w:p>
    <w:p w14:paraId="763224B9" w14:textId="77777777" w:rsidR="005E5006" w:rsidRDefault="005E5006">
      <w:pPr>
        <w:spacing w:line="338" w:lineRule="exact"/>
        <w:rPr>
          <w:rFonts w:ascii="Times New Roman" w:eastAsia="Times New Roman" w:hAnsi="Times New Roman"/>
          <w:sz w:val="24"/>
        </w:rPr>
      </w:pPr>
    </w:p>
    <w:p w14:paraId="7CB7CD42" w14:textId="77777777" w:rsidR="005E5006" w:rsidRDefault="005E5006">
      <w:pPr>
        <w:spacing w:line="0" w:lineRule="atLeast"/>
        <w:ind w:left="5260"/>
        <w:rPr>
          <w:rFonts w:ascii="Times New Roman" w:eastAsia="Times New Roman" w:hAnsi="Times New Roman"/>
          <w:sz w:val="24"/>
        </w:rPr>
      </w:pPr>
      <w:r>
        <w:rPr>
          <w:rFonts w:ascii="Times New Roman" w:eastAsia="Times New Roman" w:hAnsi="Times New Roman"/>
          <w:sz w:val="24"/>
        </w:rPr>
        <w:t>Brussels,</w:t>
      </w:r>
    </w:p>
    <w:p w14:paraId="324A4727" w14:textId="77777777" w:rsidR="005E5006" w:rsidRDefault="005E5006">
      <w:pPr>
        <w:spacing w:line="1" w:lineRule="exact"/>
        <w:rPr>
          <w:rFonts w:ascii="Times New Roman" w:eastAsia="Times New Roman" w:hAnsi="Times New Roman"/>
          <w:sz w:val="24"/>
        </w:rPr>
      </w:pPr>
    </w:p>
    <w:p w14:paraId="6698657A" w14:textId="77777777" w:rsidR="005E5006" w:rsidRDefault="005E5006">
      <w:pPr>
        <w:spacing w:line="239" w:lineRule="auto"/>
        <w:ind w:left="5260"/>
        <w:rPr>
          <w:rFonts w:ascii="Times New Roman" w:eastAsia="Times New Roman" w:hAnsi="Times New Roman"/>
        </w:rPr>
      </w:pPr>
      <w:r>
        <w:rPr>
          <w:rFonts w:ascii="Times New Roman" w:eastAsia="Times New Roman" w:hAnsi="Times New Roman"/>
        </w:rPr>
        <w:t>Ares (2017) 1134056</w:t>
      </w:r>
    </w:p>
    <w:p w14:paraId="7F79F001" w14:textId="13E03EAB" w:rsidR="005E5006" w:rsidRDefault="006C510F">
      <w:pPr>
        <w:spacing w:line="273" w:lineRule="exact"/>
        <w:rPr>
          <w:rFonts w:ascii="Times New Roman" w:eastAsia="Times New Roman" w:hAnsi="Times New Roman"/>
          <w:sz w:val="24"/>
        </w:rPr>
      </w:pPr>
      <w:r>
        <w:rPr>
          <w:rFonts w:ascii="Times New Roman" w:eastAsia="Times New Roman" w:hAnsi="Times New Roman"/>
          <w:noProof/>
          <w:lang w:val="fr-BE" w:eastAsia="fr-BE"/>
        </w:rPr>
        <w:drawing>
          <wp:anchor distT="0" distB="0" distL="114300" distR="114300" simplePos="0" relativeHeight="251657728" behindDoc="1" locked="0" layoutInCell="0" allowOverlap="1" wp14:anchorId="04850C29" wp14:editId="796ADE54">
            <wp:simplePos x="0" y="0"/>
            <wp:positionH relativeFrom="column">
              <wp:posOffset>-71120</wp:posOffset>
            </wp:positionH>
            <wp:positionV relativeFrom="paragraph">
              <wp:posOffset>156210</wp:posOffset>
            </wp:positionV>
            <wp:extent cx="6376035" cy="1124585"/>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76035" cy="1124585"/>
                    </a:xfrm>
                    <a:prstGeom prst="rect">
                      <a:avLst/>
                    </a:prstGeom>
                    <a:noFill/>
                  </pic:spPr>
                </pic:pic>
              </a:graphicData>
            </a:graphic>
            <wp14:sizeRelH relativeFrom="page">
              <wp14:pctWidth>0</wp14:pctWidth>
            </wp14:sizeRelH>
            <wp14:sizeRelV relativeFrom="page">
              <wp14:pctHeight>0</wp14:pctHeight>
            </wp14:sizeRelV>
          </wp:anchor>
        </w:drawing>
      </w:r>
    </w:p>
    <w:p w14:paraId="03F94BC8" w14:textId="77777777" w:rsidR="005E5006" w:rsidRDefault="005E5006">
      <w:pPr>
        <w:spacing w:line="0" w:lineRule="atLeast"/>
        <w:ind w:left="2920"/>
        <w:rPr>
          <w:rFonts w:ascii="Times New Roman" w:eastAsia="Times New Roman" w:hAnsi="Times New Roman"/>
          <w:b/>
          <w:i/>
          <w:sz w:val="24"/>
        </w:rPr>
      </w:pPr>
      <w:r>
        <w:rPr>
          <w:rFonts w:ascii="Times New Roman" w:eastAsia="Times New Roman" w:hAnsi="Times New Roman"/>
          <w:b/>
          <w:i/>
          <w:sz w:val="24"/>
        </w:rPr>
        <w:t>Message à l’attention du Secrétaire Général du</w:t>
      </w:r>
    </w:p>
    <w:p w14:paraId="0DDCDD0D" w14:textId="77777777" w:rsidR="005E5006" w:rsidRDefault="005E5006">
      <w:pPr>
        <w:spacing w:line="0" w:lineRule="atLeast"/>
        <w:ind w:left="3040"/>
        <w:rPr>
          <w:rFonts w:ascii="Times New Roman" w:eastAsia="Times New Roman" w:hAnsi="Times New Roman"/>
          <w:b/>
          <w:i/>
          <w:sz w:val="24"/>
        </w:rPr>
      </w:pPr>
      <w:r>
        <w:rPr>
          <w:rFonts w:ascii="Times New Roman" w:eastAsia="Times New Roman" w:hAnsi="Times New Roman"/>
          <w:b/>
          <w:i/>
          <w:sz w:val="24"/>
        </w:rPr>
        <w:t>For the attention of the Secretary General of</w:t>
      </w:r>
    </w:p>
    <w:p w14:paraId="6D18E156" w14:textId="77777777" w:rsidR="005E5006" w:rsidRDefault="005E5006">
      <w:pPr>
        <w:spacing w:line="132" w:lineRule="exact"/>
        <w:rPr>
          <w:rFonts w:ascii="Times New Roman" w:eastAsia="Times New Roman" w:hAnsi="Times New Roman"/>
          <w:sz w:val="24"/>
        </w:rPr>
      </w:pPr>
    </w:p>
    <w:p w14:paraId="6E89811F" w14:textId="77777777" w:rsidR="005E5006" w:rsidRDefault="005E5006" w:rsidP="008D6772">
      <w:pPr>
        <w:spacing w:line="233" w:lineRule="auto"/>
        <w:ind w:left="100" w:right="140" w:firstLine="740"/>
        <w:jc w:val="center"/>
        <w:rPr>
          <w:rFonts w:ascii="Times New Roman" w:eastAsia="Times New Roman" w:hAnsi="Times New Roman"/>
          <w:i/>
          <w:sz w:val="22"/>
        </w:rPr>
      </w:pPr>
      <w:r>
        <w:rPr>
          <w:rFonts w:ascii="Times New Roman" w:eastAsia="Times New Roman" w:hAnsi="Times New Roman"/>
          <w:i/>
          <w:sz w:val="22"/>
        </w:rPr>
        <w:t>AmCham EU, ACT Alliance EU, BEUC, CEJA, CELCAA, CEPM, COGECA, COPA, ECPA, ECVC, EEB, EFA, EFFAT, EFNCP, EFOW, ELO, EMB, EPHA, Euro Coop, EuropaBio, FOEE, FoodDrinkEurope,</w:t>
      </w:r>
      <w:r w:rsidR="008D6772">
        <w:rPr>
          <w:rFonts w:ascii="Times New Roman" w:eastAsia="Times New Roman" w:hAnsi="Times New Roman"/>
          <w:i/>
          <w:sz w:val="22"/>
        </w:rPr>
        <w:t xml:space="preserve"> </w:t>
      </w:r>
      <w:r>
        <w:rPr>
          <w:rFonts w:ascii="Times New Roman" w:eastAsia="Times New Roman" w:hAnsi="Times New Roman"/>
          <w:i/>
          <w:sz w:val="22"/>
        </w:rPr>
        <w:t>FTAO, IFAH Europe, IFOAM, Origin, SACAR, Slowfood, WWF</w:t>
      </w:r>
    </w:p>
    <w:p w14:paraId="2C2B7D38" w14:textId="77777777" w:rsidR="005E5006" w:rsidRDefault="005E5006">
      <w:pPr>
        <w:spacing w:line="159" w:lineRule="exact"/>
        <w:rPr>
          <w:rFonts w:ascii="Times New Roman" w:eastAsia="Times New Roman" w:hAnsi="Times New Roman"/>
          <w:sz w:val="24"/>
        </w:rPr>
      </w:pPr>
    </w:p>
    <w:p w14:paraId="1B6FAA08" w14:textId="77777777" w:rsidR="005E5006" w:rsidRDefault="005E5006">
      <w:pPr>
        <w:spacing w:line="120" w:lineRule="exact"/>
        <w:rPr>
          <w:rFonts w:ascii="Times New Roman" w:eastAsia="Times New Roman" w:hAnsi="Times New Roman"/>
        </w:rPr>
      </w:pPr>
    </w:p>
    <w:p w14:paraId="25DAC2D5" w14:textId="77777777" w:rsidR="005E5006" w:rsidRDefault="005E5006">
      <w:pPr>
        <w:spacing w:line="200" w:lineRule="exact"/>
        <w:rPr>
          <w:rFonts w:ascii="Times New Roman" w:eastAsia="Times New Roman" w:hAnsi="Times New Roman"/>
        </w:rPr>
      </w:pPr>
    </w:p>
    <w:p w14:paraId="54713B9F" w14:textId="77777777" w:rsidR="005E5006" w:rsidRDefault="005E5006">
      <w:pPr>
        <w:spacing w:line="208" w:lineRule="exact"/>
        <w:rPr>
          <w:rFonts w:ascii="Times New Roman" w:eastAsia="Times New Roman" w:hAnsi="Times New Roman"/>
        </w:rPr>
      </w:pPr>
    </w:p>
    <w:p w14:paraId="17091F3A" w14:textId="77777777" w:rsidR="005E5006" w:rsidRDefault="005E5006">
      <w:pPr>
        <w:spacing w:line="234" w:lineRule="auto"/>
        <w:rPr>
          <w:rFonts w:ascii="Times New Roman" w:eastAsia="Times New Roman" w:hAnsi="Times New Roman"/>
          <w:sz w:val="24"/>
        </w:rPr>
      </w:pPr>
      <w:r>
        <w:rPr>
          <w:rFonts w:ascii="Times New Roman" w:eastAsia="Times New Roman" w:hAnsi="Times New Roman"/>
          <w:sz w:val="24"/>
        </w:rPr>
        <w:t>According to the Decision 2013/767/EU of 16 December 2013, I wish to inform you of the next meeting of the Civil Dialogue Group on</w:t>
      </w:r>
    </w:p>
    <w:p w14:paraId="53FFAD17" w14:textId="77777777" w:rsidR="005E5006" w:rsidRDefault="005E5006">
      <w:pPr>
        <w:spacing w:line="200" w:lineRule="exact"/>
        <w:rPr>
          <w:rFonts w:ascii="Times New Roman" w:eastAsia="Times New Roman" w:hAnsi="Times New Roman"/>
        </w:rPr>
      </w:pPr>
    </w:p>
    <w:p w14:paraId="12A02DF7" w14:textId="77777777" w:rsidR="005E5006" w:rsidRDefault="005E5006">
      <w:pPr>
        <w:spacing w:line="367" w:lineRule="exact"/>
        <w:rPr>
          <w:rFonts w:ascii="Times New Roman" w:eastAsia="Times New Roman" w:hAnsi="Times New Roman"/>
        </w:rPr>
      </w:pPr>
    </w:p>
    <w:p w14:paraId="261011B5" w14:textId="77777777" w:rsidR="005E5006" w:rsidRDefault="005E5006">
      <w:pPr>
        <w:spacing w:line="212" w:lineRule="auto"/>
        <w:ind w:left="2740" w:right="1120" w:hanging="1033"/>
        <w:rPr>
          <w:rFonts w:ascii="Times New Roman" w:eastAsia="Times New Roman" w:hAnsi="Times New Roman"/>
          <w:b/>
          <w:sz w:val="24"/>
          <w:u w:val="single"/>
        </w:rPr>
      </w:pPr>
      <w:r>
        <w:rPr>
          <w:rFonts w:ascii="Times New Roman" w:eastAsia="Times New Roman" w:hAnsi="Times New Roman"/>
          <w:b/>
          <w:sz w:val="24"/>
        </w:rPr>
        <w:t xml:space="preserve">« CDG INTERNATIONAL ASPECTS OF AGRICULTURE » </w:t>
      </w:r>
      <w:r>
        <w:rPr>
          <w:rFonts w:ascii="Times New Roman" w:eastAsia="Times New Roman" w:hAnsi="Times New Roman"/>
          <w:b/>
          <w:sz w:val="24"/>
          <w:u w:val="single"/>
        </w:rPr>
        <w:t>March 10</w:t>
      </w:r>
      <w:r>
        <w:rPr>
          <w:rFonts w:ascii="Times New Roman" w:eastAsia="Times New Roman" w:hAnsi="Times New Roman"/>
          <w:b/>
          <w:sz w:val="31"/>
          <w:u w:val="single"/>
          <w:vertAlign w:val="superscript"/>
        </w:rPr>
        <w:t>th</w:t>
      </w:r>
      <w:r>
        <w:rPr>
          <w:rFonts w:ascii="Times New Roman" w:eastAsia="Times New Roman" w:hAnsi="Times New Roman"/>
          <w:b/>
          <w:sz w:val="24"/>
          <w:u w:val="single"/>
        </w:rPr>
        <w:t xml:space="preserve"> 2017, from 9:30 to 18:00 hours</w:t>
      </w:r>
    </w:p>
    <w:p w14:paraId="51841057" w14:textId="77777777" w:rsidR="005E5006" w:rsidRDefault="005E5006">
      <w:pPr>
        <w:spacing w:line="221" w:lineRule="auto"/>
        <w:ind w:left="1580"/>
        <w:rPr>
          <w:rFonts w:ascii="Times New Roman" w:eastAsia="Times New Roman" w:hAnsi="Times New Roman"/>
          <w:sz w:val="24"/>
        </w:rPr>
      </w:pPr>
      <w:r>
        <w:rPr>
          <w:rFonts w:ascii="Times New Roman" w:eastAsia="Times New Roman" w:hAnsi="Times New Roman"/>
          <w:sz w:val="24"/>
        </w:rPr>
        <w:t>in 1049 Brussels, Albert Borschette, Rue Froissart 36 – room AB-1A</w:t>
      </w:r>
    </w:p>
    <w:p w14:paraId="5273AD4D" w14:textId="77777777" w:rsidR="005E5006" w:rsidRDefault="005E5006">
      <w:pPr>
        <w:spacing w:line="277" w:lineRule="exact"/>
        <w:rPr>
          <w:rFonts w:ascii="Times New Roman" w:eastAsia="Times New Roman" w:hAnsi="Times New Roman"/>
        </w:rPr>
      </w:pPr>
    </w:p>
    <w:p w14:paraId="3ACC38B1" w14:textId="77777777" w:rsidR="005E5006" w:rsidRDefault="005E5006">
      <w:pPr>
        <w:spacing w:line="0" w:lineRule="atLeast"/>
        <w:ind w:left="140"/>
        <w:rPr>
          <w:rFonts w:ascii="Times New Roman" w:eastAsia="Times New Roman" w:hAnsi="Times New Roman"/>
          <w:color w:val="222222"/>
          <w:sz w:val="24"/>
        </w:rPr>
      </w:pPr>
      <w:r>
        <w:rPr>
          <w:rFonts w:ascii="Times New Roman" w:eastAsia="Times New Roman" w:hAnsi="Times New Roman"/>
          <w:color w:val="222222"/>
          <w:sz w:val="24"/>
        </w:rPr>
        <w:t>with the following agenda:</w:t>
      </w:r>
    </w:p>
    <w:p w14:paraId="47A7B059" w14:textId="77777777" w:rsidR="005E5006" w:rsidRDefault="005E5006">
      <w:pPr>
        <w:spacing w:line="362" w:lineRule="exact"/>
        <w:rPr>
          <w:rFonts w:ascii="Times New Roman" w:eastAsia="Times New Roman" w:hAnsi="Times New Roman"/>
        </w:rPr>
      </w:pPr>
    </w:p>
    <w:p w14:paraId="07251C34" w14:textId="77777777" w:rsidR="005E5006" w:rsidRDefault="005E5006">
      <w:pPr>
        <w:spacing w:line="0" w:lineRule="atLeast"/>
        <w:ind w:left="140"/>
        <w:rPr>
          <w:rFonts w:ascii="Times New Roman" w:eastAsia="Times New Roman" w:hAnsi="Times New Roman"/>
          <w:b/>
          <w:color w:val="222222"/>
          <w:sz w:val="24"/>
        </w:rPr>
      </w:pPr>
      <w:r>
        <w:rPr>
          <w:rFonts w:ascii="Times New Roman" w:eastAsia="Times New Roman" w:hAnsi="Times New Roman"/>
          <w:b/>
          <w:color w:val="222222"/>
          <w:sz w:val="24"/>
        </w:rPr>
        <w:t>MORNING SESSION</w:t>
      </w:r>
    </w:p>
    <w:p w14:paraId="35B7B083" w14:textId="77777777" w:rsidR="005E5006" w:rsidRDefault="005E5006">
      <w:pPr>
        <w:spacing w:line="358" w:lineRule="exact"/>
        <w:rPr>
          <w:rFonts w:ascii="Times New Roman" w:eastAsia="Times New Roman" w:hAnsi="Times New Roman"/>
        </w:rPr>
      </w:pPr>
    </w:p>
    <w:p w14:paraId="62FB5F37" w14:textId="77777777" w:rsidR="005E5006" w:rsidRDefault="005E5006">
      <w:pPr>
        <w:numPr>
          <w:ilvl w:val="0"/>
          <w:numId w:val="5"/>
        </w:numPr>
        <w:tabs>
          <w:tab w:val="left" w:pos="500"/>
        </w:tabs>
        <w:spacing w:line="0" w:lineRule="atLeast"/>
        <w:ind w:left="500" w:hanging="352"/>
        <w:jc w:val="both"/>
        <w:rPr>
          <w:rFonts w:ascii="Times New Roman" w:eastAsia="Times New Roman" w:hAnsi="Times New Roman"/>
          <w:color w:val="222222"/>
          <w:sz w:val="24"/>
        </w:rPr>
      </w:pPr>
      <w:r>
        <w:rPr>
          <w:rFonts w:ascii="Times New Roman" w:eastAsia="Times New Roman" w:hAnsi="Times New Roman"/>
          <w:color w:val="222222"/>
          <w:sz w:val="24"/>
        </w:rPr>
        <w:t>Administrative and governance matters</w:t>
      </w:r>
    </w:p>
    <w:p w14:paraId="6080A1B6" w14:textId="77777777" w:rsidR="005E5006" w:rsidRDefault="005E5006">
      <w:pPr>
        <w:spacing w:line="120" w:lineRule="exact"/>
        <w:rPr>
          <w:rFonts w:ascii="Times New Roman" w:eastAsia="Times New Roman" w:hAnsi="Times New Roman"/>
          <w:color w:val="222222"/>
          <w:sz w:val="24"/>
        </w:rPr>
      </w:pPr>
    </w:p>
    <w:p w14:paraId="41C8B010" w14:textId="77777777" w:rsidR="005E5006" w:rsidRDefault="005E5006">
      <w:pPr>
        <w:numPr>
          <w:ilvl w:val="1"/>
          <w:numId w:val="5"/>
        </w:numPr>
        <w:tabs>
          <w:tab w:val="left" w:pos="1220"/>
        </w:tabs>
        <w:spacing w:line="0" w:lineRule="atLeast"/>
        <w:ind w:left="1220" w:hanging="352"/>
        <w:jc w:val="both"/>
        <w:rPr>
          <w:rFonts w:ascii="Times New Roman" w:eastAsia="Times New Roman" w:hAnsi="Times New Roman"/>
          <w:color w:val="222222"/>
          <w:sz w:val="24"/>
        </w:rPr>
      </w:pPr>
      <w:r>
        <w:rPr>
          <w:rFonts w:ascii="Times New Roman" w:eastAsia="Times New Roman" w:hAnsi="Times New Roman"/>
          <w:color w:val="222222"/>
          <w:sz w:val="24"/>
        </w:rPr>
        <w:t>Adoption of the minutes of the last CDG of 15 09 2016</w:t>
      </w:r>
    </w:p>
    <w:p w14:paraId="4B1733B3" w14:textId="77777777" w:rsidR="005E5006" w:rsidRDefault="005E5006">
      <w:pPr>
        <w:spacing w:line="120" w:lineRule="exact"/>
        <w:rPr>
          <w:rFonts w:ascii="Times New Roman" w:eastAsia="Times New Roman" w:hAnsi="Times New Roman"/>
          <w:color w:val="222222"/>
          <w:sz w:val="24"/>
        </w:rPr>
      </w:pPr>
    </w:p>
    <w:p w14:paraId="5427245B" w14:textId="77777777" w:rsidR="005E5006" w:rsidRDefault="005E5006">
      <w:pPr>
        <w:numPr>
          <w:ilvl w:val="1"/>
          <w:numId w:val="5"/>
        </w:numPr>
        <w:tabs>
          <w:tab w:val="left" w:pos="1220"/>
        </w:tabs>
        <w:spacing w:line="0" w:lineRule="atLeast"/>
        <w:ind w:left="1220" w:hanging="352"/>
        <w:jc w:val="both"/>
        <w:rPr>
          <w:rFonts w:ascii="Times New Roman" w:eastAsia="Times New Roman" w:hAnsi="Times New Roman"/>
          <w:color w:val="222222"/>
          <w:sz w:val="24"/>
        </w:rPr>
      </w:pPr>
      <w:r>
        <w:rPr>
          <w:rFonts w:ascii="Times New Roman" w:eastAsia="Times New Roman" w:hAnsi="Times New Roman"/>
          <w:color w:val="222222"/>
          <w:sz w:val="24"/>
        </w:rPr>
        <w:t>Adoption of the agenda of the present meeting of 10/03/2017</w:t>
      </w:r>
    </w:p>
    <w:p w14:paraId="7CAA9816" w14:textId="77777777" w:rsidR="005E5006" w:rsidRDefault="005E5006">
      <w:pPr>
        <w:spacing w:line="120" w:lineRule="exact"/>
        <w:rPr>
          <w:rFonts w:ascii="Times New Roman" w:eastAsia="Times New Roman" w:hAnsi="Times New Roman"/>
          <w:color w:val="222222"/>
          <w:sz w:val="24"/>
        </w:rPr>
      </w:pPr>
    </w:p>
    <w:p w14:paraId="37998CD0" w14:textId="77777777" w:rsidR="005E5006" w:rsidRDefault="005E5006">
      <w:pPr>
        <w:numPr>
          <w:ilvl w:val="1"/>
          <w:numId w:val="5"/>
        </w:numPr>
        <w:tabs>
          <w:tab w:val="left" w:pos="1220"/>
        </w:tabs>
        <w:spacing w:line="0" w:lineRule="atLeast"/>
        <w:ind w:left="1220" w:hanging="352"/>
        <w:jc w:val="both"/>
        <w:rPr>
          <w:rFonts w:ascii="Times New Roman" w:eastAsia="Times New Roman" w:hAnsi="Times New Roman"/>
          <w:color w:val="222222"/>
          <w:sz w:val="24"/>
        </w:rPr>
      </w:pPr>
      <w:r>
        <w:rPr>
          <w:rFonts w:ascii="Times New Roman" w:eastAsia="Times New Roman" w:hAnsi="Times New Roman"/>
          <w:color w:val="222222"/>
          <w:sz w:val="24"/>
        </w:rPr>
        <w:t>Election of the Chairperson and Vice-Chairpersons</w:t>
      </w:r>
    </w:p>
    <w:p w14:paraId="18BBD51E" w14:textId="77777777" w:rsidR="004A2210" w:rsidRDefault="004A2210" w:rsidP="004A2210">
      <w:pPr>
        <w:tabs>
          <w:tab w:val="left" w:pos="1220"/>
        </w:tabs>
        <w:spacing w:line="0" w:lineRule="atLeast"/>
        <w:jc w:val="both"/>
        <w:rPr>
          <w:rFonts w:ascii="Times New Roman" w:eastAsia="Times New Roman" w:hAnsi="Times New Roman"/>
          <w:color w:val="222222"/>
          <w:sz w:val="24"/>
        </w:rPr>
      </w:pPr>
      <w:r>
        <w:rPr>
          <w:rFonts w:ascii="Times New Roman" w:eastAsia="Times New Roman" w:hAnsi="Times New Roman"/>
          <w:color w:val="222222"/>
          <w:sz w:val="24"/>
        </w:rPr>
        <w:t xml:space="preserve">   </w:t>
      </w:r>
    </w:p>
    <w:tbl>
      <w:tblPr>
        <w:tblStyle w:val="TableGrid"/>
        <w:tblW w:w="9356" w:type="dxa"/>
        <w:tblInd w:w="-34" w:type="dxa"/>
        <w:tblLayout w:type="fixed"/>
        <w:tblLook w:val="04A0" w:firstRow="1" w:lastRow="0" w:firstColumn="1" w:lastColumn="0" w:noHBand="0" w:noVBand="1"/>
      </w:tblPr>
      <w:tblGrid>
        <w:gridCol w:w="9356"/>
      </w:tblGrid>
      <w:tr w:rsidR="004A2210" w14:paraId="007EBBAE" w14:textId="77777777" w:rsidTr="004A2210">
        <w:tc>
          <w:tcPr>
            <w:tcW w:w="9356" w:type="dxa"/>
          </w:tcPr>
          <w:p w14:paraId="78EB934C" w14:textId="2C227168" w:rsidR="004A2210" w:rsidRPr="004A2210" w:rsidRDefault="004A2210" w:rsidP="0071347E">
            <w:pPr>
              <w:tabs>
                <w:tab w:val="left" w:pos="601"/>
              </w:tabs>
              <w:spacing w:line="0" w:lineRule="atLeast"/>
              <w:jc w:val="both"/>
              <w:rPr>
                <w:rFonts w:ascii="Times New Roman" w:eastAsia="Times New Roman" w:hAnsi="Times New Roman"/>
                <w:color w:val="0070C0"/>
                <w:sz w:val="24"/>
              </w:rPr>
            </w:pPr>
            <w:r>
              <w:rPr>
                <w:rFonts w:ascii="Times New Roman" w:eastAsia="Times New Roman" w:hAnsi="Times New Roman"/>
                <w:color w:val="0070C0"/>
                <w:sz w:val="24"/>
              </w:rPr>
              <w:t xml:space="preserve">Details </w:t>
            </w:r>
            <w:r w:rsidR="007832B3">
              <w:rPr>
                <w:rFonts w:ascii="Times New Roman" w:eastAsia="Times New Roman" w:hAnsi="Times New Roman"/>
                <w:color w:val="0070C0"/>
                <w:sz w:val="24"/>
              </w:rPr>
              <w:t xml:space="preserve">were </w:t>
            </w:r>
            <w:r>
              <w:rPr>
                <w:rFonts w:ascii="Times New Roman" w:eastAsia="Times New Roman" w:hAnsi="Times New Roman"/>
                <w:color w:val="0070C0"/>
                <w:sz w:val="24"/>
              </w:rPr>
              <w:t>sent to participants of FoodDrink</w:t>
            </w:r>
            <w:r w:rsidR="00DB47C3">
              <w:rPr>
                <w:rFonts w:ascii="Times New Roman" w:eastAsia="Times New Roman" w:hAnsi="Times New Roman"/>
                <w:color w:val="0070C0"/>
                <w:sz w:val="24"/>
              </w:rPr>
              <w:t>Europe.</w:t>
            </w:r>
          </w:p>
        </w:tc>
      </w:tr>
    </w:tbl>
    <w:p w14:paraId="18F2B970" w14:textId="77777777" w:rsidR="004A2210" w:rsidRDefault="004A2210" w:rsidP="004A2210">
      <w:pPr>
        <w:tabs>
          <w:tab w:val="left" w:pos="1220"/>
        </w:tabs>
        <w:spacing w:line="0" w:lineRule="atLeast"/>
        <w:jc w:val="both"/>
        <w:rPr>
          <w:rFonts w:ascii="Times New Roman" w:eastAsia="Times New Roman" w:hAnsi="Times New Roman"/>
          <w:color w:val="222222"/>
          <w:sz w:val="24"/>
        </w:rPr>
      </w:pPr>
    </w:p>
    <w:p w14:paraId="32C0AC25" w14:textId="77777777" w:rsidR="005E5006" w:rsidRDefault="005E5006">
      <w:pPr>
        <w:spacing w:line="120" w:lineRule="exact"/>
        <w:rPr>
          <w:rFonts w:ascii="Times New Roman" w:eastAsia="Times New Roman" w:hAnsi="Times New Roman"/>
          <w:color w:val="222222"/>
          <w:sz w:val="24"/>
        </w:rPr>
      </w:pPr>
    </w:p>
    <w:p w14:paraId="2498DE19" w14:textId="77777777" w:rsidR="005E5006" w:rsidRDefault="005E5006">
      <w:pPr>
        <w:numPr>
          <w:ilvl w:val="0"/>
          <w:numId w:val="5"/>
        </w:numPr>
        <w:tabs>
          <w:tab w:val="left" w:pos="500"/>
        </w:tabs>
        <w:spacing w:line="0" w:lineRule="atLeast"/>
        <w:ind w:left="500" w:hanging="352"/>
        <w:jc w:val="both"/>
        <w:rPr>
          <w:rFonts w:ascii="Times New Roman" w:eastAsia="Times New Roman" w:hAnsi="Times New Roman"/>
          <w:color w:val="222222"/>
          <w:sz w:val="24"/>
        </w:rPr>
      </w:pPr>
      <w:r>
        <w:rPr>
          <w:rFonts w:ascii="Times New Roman" w:eastAsia="Times New Roman" w:hAnsi="Times New Roman"/>
          <w:color w:val="222222"/>
          <w:sz w:val="24"/>
        </w:rPr>
        <w:t>Agri-food trade developments2016</w:t>
      </w:r>
    </w:p>
    <w:p w14:paraId="178D2E54" w14:textId="77777777" w:rsidR="004A2210" w:rsidRDefault="004A2210" w:rsidP="004A2210">
      <w:pPr>
        <w:tabs>
          <w:tab w:val="left" w:pos="500"/>
        </w:tabs>
        <w:spacing w:line="0" w:lineRule="atLeast"/>
        <w:jc w:val="both"/>
        <w:rPr>
          <w:rFonts w:ascii="Times New Roman" w:eastAsia="Times New Roman" w:hAnsi="Times New Roman"/>
          <w:color w:val="222222"/>
          <w:sz w:val="24"/>
        </w:rPr>
      </w:pPr>
    </w:p>
    <w:tbl>
      <w:tblPr>
        <w:tblStyle w:val="TableGrid"/>
        <w:tblW w:w="0" w:type="auto"/>
        <w:tblLook w:val="04A0" w:firstRow="1" w:lastRow="0" w:firstColumn="1" w:lastColumn="0" w:noHBand="0" w:noVBand="1"/>
      </w:tblPr>
      <w:tblGrid>
        <w:gridCol w:w="9436"/>
      </w:tblGrid>
      <w:tr w:rsidR="004A2210" w14:paraId="664B492C" w14:textId="77777777" w:rsidTr="004A2210">
        <w:tc>
          <w:tcPr>
            <w:tcW w:w="9436" w:type="dxa"/>
          </w:tcPr>
          <w:p w14:paraId="1E37020E" w14:textId="2256E48F" w:rsidR="004A2210" w:rsidRPr="00D64650" w:rsidRDefault="004A2210" w:rsidP="004A2210">
            <w:pPr>
              <w:tabs>
                <w:tab w:val="left" w:pos="500"/>
              </w:tabs>
              <w:spacing w:line="0" w:lineRule="atLeast"/>
              <w:jc w:val="both"/>
              <w:rPr>
                <w:rFonts w:ascii="Times New Roman" w:eastAsia="Times New Roman" w:hAnsi="Times New Roman"/>
                <w:color w:val="0070C0"/>
                <w:sz w:val="24"/>
              </w:rPr>
            </w:pPr>
            <w:r w:rsidRPr="00D64650">
              <w:rPr>
                <w:rFonts w:ascii="Times New Roman" w:eastAsia="Times New Roman" w:hAnsi="Times New Roman"/>
                <w:color w:val="0070C0"/>
                <w:sz w:val="24"/>
              </w:rPr>
              <w:t>Background docs</w:t>
            </w:r>
            <w:r w:rsidR="00D64650">
              <w:rPr>
                <w:rFonts w:ascii="Times New Roman" w:eastAsia="Times New Roman" w:hAnsi="Times New Roman"/>
                <w:color w:val="0070C0"/>
                <w:sz w:val="24"/>
              </w:rPr>
              <w:t>:</w:t>
            </w:r>
            <w:r w:rsidRPr="00D64650">
              <w:rPr>
                <w:rFonts w:ascii="Times New Roman" w:eastAsia="Times New Roman" w:hAnsi="Times New Roman"/>
                <w:color w:val="0070C0"/>
                <w:sz w:val="24"/>
              </w:rPr>
              <w:t xml:space="preserve"> </w:t>
            </w:r>
          </w:p>
          <w:p w14:paraId="3F569164" w14:textId="77777777" w:rsidR="004A2210" w:rsidRDefault="004A2210" w:rsidP="003F7496">
            <w:pPr>
              <w:numPr>
                <w:ilvl w:val="0"/>
                <w:numId w:val="11"/>
              </w:numPr>
              <w:tabs>
                <w:tab w:val="left" w:pos="500"/>
              </w:tabs>
              <w:spacing w:line="0" w:lineRule="atLeast"/>
              <w:rPr>
                <w:rFonts w:ascii="Times New Roman" w:eastAsia="Times New Roman" w:hAnsi="Times New Roman"/>
                <w:color w:val="0070C0"/>
                <w:sz w:val="24"/>
              </w:rPr>
            </w:pPr>
            <w:r w:rsidRPr="003F7496">
              <w:rPr>
                <w:rFonts w:ascii="Times New Roman" w:eastAsia="Times New Roman" w:hAnsi="Times New Roman"/>
                <w:color w:val="0070C0"/>
                <w:sz w:val="24"/>
              </w:rPr>
              <w:t xml:space="preserve">“Agri-food exports from the European Union reach record high in 2016, according to annual 2016 figures”, DG Agri press release, 23 February 2017  </w:t>
            </w:r>
            <w:hyperlink r:id="rId9" w:history="1">
              <w:r w:rsidRPr="003F7496">
                <w:rPr>
                  <w:rStyle w:val="Hyperlink"/>
                  <w:rFonts w:ascii="Times New Roman" w:eastAsia="Times New Roman" w:hAnsi="Times New Roman"/>
                  <w:color w:val="0070C0"/>
                  <w:sz w:val="24"/>
                </w:rPr>
                <w:t>https://ec.europa.eu/agriculture/newsroom/330_en</w:t>
              </w:r>
            </w:hyperlink>
            <w:r w:rsidRPr="003F7496">
              <w:rPr>
                <w:rFonts w:ascii="Times New Roman" w:eastAsia="Times New Roman" w:hAnsi="Times New Roman"/>
                <w:color w:val="0070C0"/>
                <w:sz w:val="24"/>
              </w:rPr>
              <w:t xml:space="preserve"> </w:t>
            </w:r>
            <w:r w:rsidR="00255612" w:rsidRPr="003F7496">
              <w:rPr>
                <w:rFonts w:ascii="Times New Roman" w:eastAsia="Times New Roman" w:hAnsi="Times New Roman"/>
                <w:color w:val="0070C0"/>
                <w:sz w:val="24"/>
              </w:rPr>
              <w:t xml:space="preserve"> + the </w:t>
            </w:r>
            <w:hyperlink r:id="rId10" w:history="1">
              <w:r w:rsidR="00255612" w:rsidRPr="003F7496">
                <w:rPr>
                  <w:rStyle w:val="Hyperlink"/>
                  <w:rFonts w:ascii="Times New Roman" w:eastAsia="Times New Roman" w:hAnsi="Times New Roman"/>
                  <w:color w:val="0070C0"/>
                  <w:sz w:val="24"/>
                </w:rPr>
                <w:t>full report</w:t>
              </w:r>
            </w:hyperlink>
            <w:r w:rsidR="00255612" w:rsidRPr="003F7496">
              <w:rPr>
                <w:rFonts w:ascii="Times New Roman" w:eastAsia="Times New Roman" w:hAnsi="Times New Roman"/>
                <w:color w:val="0070C0"/>
                <w:sz w:val="24"/>
              </w:rPr>
              <w:t xml:space="preserve"> </w:t>
            </w:r>
          </w:p>
          <w:p w14:paraId="2881BF97" w14:textId="7B63C6D0" w:rsidR="001762B9" w:rsidRPr="001762B9" w:rsidRDefault="001762B9" w:rsidP="001762B9">
            <w:pPr>
              <w:pStyle w:val="ListParagraph"/>
              <w:numPr>
                <w:ilvl w:val="0"/>
                <w:numId w:val="21"/>
              </w:numPr>
              <w:tabs>
                <w:tab w:val="left" w:pos="500"/>
              </w:tabs>
              <w:spacing w:line="0" w:lineRule="atLeast"/>
              <w:rPr>
                <w:rFonts w:ascii="Times New Roman" w:eastAsia="Times New Roman" w:hAnsi="Times New Roman"/>
                <w:color w:val="0070C0"/>
                <w:sz w:val="24"/>
              </w:rPr>
            </w:pPr>
            <w:r>
              <w:rPr>
                <w:rFonts w:ascii="Times New Roman" w:eastAsia="Times New Roman" w:hAnsi="Times New Roman"/>
                <w:color w:val="0070C0"/>
                <w:sz w:val="24"/>
              </w:rPr>
              <w:t>Includes focus on EU agri-food trade with Canada</w:t>
            </w:r>
          </w:p>
          <w:p w14:paraId="65B06F52" w14:textId="77777777" w:rsidR="004A2210" w:rsidRDefault="004A2210" w:rsidP="004A2210">
            <w:pPr>
              <w:tabs>
                <w:tab w:val="left" w:pos="500"/>
              </w:tabs>
              <w:spacing w:line="0" w:lineRule="atLeast"/>
              <w:jc w:val="both"/>
              <w:rPr>
                <w:rFonts w:ascii="Times New Roman" w:eastAsia="Times New Roman" w:hAnsi="Times New Roman"/>
                <w:color w:val="222222"/>
                <w:sz w:val="24"/>
              </w:rPr>
            </w:pPr>
          </w:p>
          <w:p w14:paraId="3CAB9B1E" w14:textId="77777777" w:rsidR="00EA4658" w:rsidRDefault="00EA4658" w:rsidP="004A2210">
            <w:pPr>
              <w:tabs>
                <w:tab w:val="left" w:pos="500"/>
              </w:tabs>
              <w:spacing w:line="0" w:lineRule="atLeast"/>
              <w:jc w:val="both"/>
              <w:rPr>
                <w:rFonts w:ascii="Times New Roman" w:eastAsia="Times New Roman" w:hAnsi="Times New Roman"/>
                <w:color w:val="222222"/>
                <w:sz w:val="24"/>
              </w:rPr>
            </w:pPr>
            <w:r>
              <w:rPr>
                <w:rFonts w:ascii="Times New Roman" w:eastAsia="Times New Roman" w:hAnsi="Times New Roman"/>
                <w:color w:val="222222"/>
                <w:sz w:val="24"/>
              </w:rPr>
              <w:t>---</w:t>
            </w:r>
          </w:p>
          <w:p w14:paraId="1E6AB12E" w14:textId="77777777" w:rsidR="00EA4658" w:rsidRDefault="00EA4658" w:rsidP="004A2210">
            <w:pPr>
              <w:tabs>
                <w:tab w:val="left" w:pos="500"/>
              </w:tabs>
              <w:spacing w:line="0" w:lineRule="atLeast"/>
              <w:jc w:val="both"/>
              <w:rPr>
                <w:rFonts w:ascii="Times New Roman" w:eastAsia="Times New Roman" w:hAnsi="Times New Roman"/>
                <w:color w:val="222222"/>
                <w:sz w:val="24"/>
              </w:rPr>
            </w:pPr>
          </w:p>
          <w:p w14:paraId="69268024" w14:textId="10B21B48" w:rsidR="00EA4658" w:rsidRDefault="00EA4658" w:rsidP="00EA4658">
            <w:pPr>
              <w:tabs>
                <w:tab w:val="left" w:pos="500"/>
              </w:tabs>
              <w:spacing w:line="0" w:lineRule="atLeast"/>
              <w:jc w:val="both"/>
              <w:rPr>
                <w:rFonts w:ascii="Times New Roman" w:eastAsia="Times New Roman" w:hAnsi="Times New Roman"/>
                <w:color w:val="0070C0"/>
                <w:sz w:val="24"/>
              </w:rPr>
            </w:pPr>
            <w:r>
              <w:rPr>
                <w:rFonts w:ascii="Times New Roman" w:eastAsia="Times New Roman" w:hAnsi="Times New Roman"/>
                <w:color w:val="0070C0"/>
                <w:sz w:val="24"/>
              </w:rPr>
              <w:t>Comments</w:t>
            </w:r>
            <w:r w:rsidR="00AC6F32">
              <w:rPr>
                <w:rFonts w:ascii="Times New Roman" w:eastAsia="Times New Roman" w:hAnsi="Times New Roman"/>
                <w:color w:val="0070C0"/>
                <w:sz w:val="24"/>
              </w:rPr>
              <w:t>, if considered relevant</w:t>
            </w:r>
            <w:r>
              <w:rPr>
                <w:rFonts w:ascii="Times New Roman" w:eastAsia="Times New Roman" w:hAnsi="Times New Roman"/>
                <w:color w:val="0070C0"/>
                <w:sz w:val="24"/>
              </w:rPr>
              <w:t>:</w:t>
            </w:r>
          </w:p>
          <w:p w14:paraId="45C82FB9" w14:textId="7293B3C3" w:rsidR="00EA4658" w:rsidRDefault="00AC6F32" w:rsidP="00EA4658">
            <w:pPr>
              <w:pStyle w:val="ListParagraph"/>
              <w:numPr>
                <w:ilvl w:val="0"/>
                <w:numId w:val="21"/>
              </w:numPr>
              <w:tabs>
                <w:tab w:val="left" w:pos="500"/>
              </w:tabs>
              <w:spacing w:line="0" w:lineRule="atLeast"/>
              <w:jc w:val="both"/>
              <w:rPr>
                <w:rFonts w:ascii="Times New Roman" w:eastAsia="Times New Roman" w:hAnsi="Times New Roman"/>
                <w:color w:val="0070C0"/>
                <w:sz w:val="24"/>
              </w:rPr>
            </w:pPr>
            <w:r>
              <w:rPr>
                <w:rFonts w:ascii="Times New Roman" w:eastAsia="Times New Roman" w:hAnsi="Times New Roman"/>
                <w:color w:val="0070C0"/>
                <w:sz w:val="24"/>
              </w:rPr>
              <w:t xml:space="preserve"> On EU-Canada CETA: </w:t>
            </w:r>
          </w:p>
          <w:p w14:paraId="27643421" w14:textId="111D4754" w:rsidR="00AC6F32" w:rsidRDefault="00AC6F32" w:rsidP="00AC6F32">
            <w:pPr>
              <w:pStyle w:val="ListParagraph"/>
              <w:numPr>
                <w:ilvl w:val="0"/>
                <w:numId w:val="22"/>
              </w:numPr>
              <w:tabs>
                <w:tab w:val="left" w:pos="500"/>
              </w:tabs>
              <w:spacing w:line="0" w:lineRule="atLeast"/>
              <w:jc w:val="both"/>
              <w:rPr>
                <w:rFonts w:ascii="Times New Roman" w:eastAsia="Times New Roman" w:hAnsi="Times New Roman"/>
                <w:color w:val="0070C0"/>
                <w:sz w:val="24"/>
              </w:rPr>
            </w:pPr>
            <w:r>
              <w:rPr>
                <w:rFonts w:ascii="Times New Roman" w:eastAsia="Times New Roman" w:hAnsi="Times New Roman"/>
                <w:color w:val="0070C0"/>
                <w:sz w:val="24"/>
              </w:rPr>
              <w:t xml:space="preserve">Could you confirm the date of provisional application of the </w:t>
            </w:r>
            <w:r w:rsidR="00A40D99">
              <w:rPr>
                <w:rFonts w:ascii="Times New Roman" w:eastAsia="Times New Roman" w:hAnsi="Times New Roman"/>
                <w:color w:val="0070C0"/>
                <w:sz w:val="24"/>
              </w:rPr>
              <w:t xml:space="preserve">CETA </w:t>
            </w:r>
            <w:r>
              <w:rPr>
                <w:rFonts w:ascii="Times New Roman" w:eastAsia="Times New Roman" w:hAnsi="Times New Roman"/>
                <w:color w:val="0070C0"/>
                <w:sz w:val="24"/>
              </w:rPr>
              <w:t>agreement (1</w:t>
            </w:r>
            <w:r w:rsidRPr="00AC6F32">
              <w:rPr>
                <w:rFonts w:ascii="Times New Roman" w:eastAsia="Times New Roman" w:hAnsi="Times New Roman"/>
                <w:color w:val="0070C0"/>
                <w:sz w:val="24"/>
                <w:vertAlign w:val="superscript"/>
              </w:rPr>
              <w:t>st</w:t>
            </w:r>
            <w:r>
              <w:rPr>
                <w:rFonts w:ascii="Times New Roman" w:eastAsia="Times New Roman" w:hAnsi="Times New Roman"/>
                <w:color w:val="0070C0"/>
                <w:sz w:val="24"/>
              </w:rPr>
              <w:t xml:space="preserve"> </w:t>
            </w:r>
            <w:r>
              <w:rPr>
                <w:rFonts w:ascii="Times New Roman" w:eastAsia="Times New Roman" w:hAnsi="Times New Roman"/>
                <w:color w:val="0070C0"/>
                <w:sz w:val="24"/>
              </w:rPr>
              <w:lastRenderedPageBreak/>
              <w:t>April 2017)?</w:t>
            </w:r>
          </w:p>
          <w:p w14:paraId="6ABAFBB3" w14:textId="05F7F773" w:rsidR="00AC6F32" w:rsidRPr="00EA4658" w:rsidRDefault="00AC6F32" w:rsidP="00AC6F32">
            <w:pPr>
              <w:pStyle w:val="ListParagraph"/>
              <w:numPr>
                <w:ilvl w:val="0"/>
                <w:numId w:val="22"/>
              </w:numPr>
              <w:tabs>
                <w:tab w:val="left" w:pos="500"/>
              </w:tabs>
              <w:spacing w:line="0" w:lineRule="atLeast"/>
              <w:jc w:val="both"/>
              <w:rPr>
                <w:rFonts w:ascii="Times New Roman" w:eastAsia="Times New Roman" w:hAnsi="Times New Roman"/>
                <w:color w:val="0070C0"/>
                <w:sz w:val="24"/>
              </w:rPr>
            </w:pPr>
            <w:r>
              <w:rPr>
                <w:rFonts w:ascii="Times New Roman" w:eastAsia="Times New Roman" w:hAnsi="Times New Roman"/>
                <w:color w:val="0070C0"/>
                <w:sz w:val="24"/>
              </w:rPr>
              <w:t xml:space="preserve">Could you </w:t>
            </w:r>
            <w:r w:rsidR="00592B63">
              <w:rPr>
                <w:rFonts w:ascii="Times New Roman" w:eastAsia="Times New Roman" w:hAnsi="Times New Roman"/>
                <w:color w:val="0070C0"/>
                <w:sz w:val="24"/>
              </w:rPr>
              <w:t xml:space="preserve">please </w:t>
            </w:r>
            <w:r>
              <w:rPr>
                <w:rFonts w:ascii="Times New Roman" w:eastAsia="Times New Roman" w:hAnsi="Times New Roman"/>
                <w:color w:val="0070C0"/>
                <w:sz w:val="24"/>
              </w:rPr>
              <w:t xml:space="preserve">also explain the administrative procedures EU exporters already exporting and those interested to export </w:t>
            </w:r>
            <w:r w:rsidR="00A40D99">
              <w:rPr>
                <w:rFonts w:ascii="Times New Roman" w:eastAsia="Times New Roman" w:hAnsi="Times New Roman"/>
                <w:color w:val="0070C0"/>
                <w:sz w:val="24"/>
              </w:rPr>
              <w:t xml:space="preserve">to Canada </w:t>
            </w:r>
            <w:r>
              <w:rPr>
                <w:rFonts w:ascii="Times New Roman" w:eastAsia="Times New Roman" w:hAnsi="Times New Roman"/>
                <w:color w:val="0070C0"/>
                <w:sz w:val="24"/>
              </w:rPr>
              <w:t>will have to go through? (“registered</w:t>
            </w:r>
            <w:r w:rsidR="00DA5B8A">
              <w:rPr>
                <w:rFonts w:ascii="Times New Roman" w:eastAsia="Times New Roman" w:hAnsi="Times New Roman"/>
                <w:color w:val="0070C0"/>
                <w:sz w:val="24"/>
              </w:rPr>
              <w:t xml:space="preserve"> / authorised</w:t>
            </w:r>
            <w:r>
              <w:rPr>
                <w:rFonts w:ascii="Times New Roman" w:eastAsia="Times New Roman" w:hAnsi="Times New Roman"/>
                <w:color w:val="0070C0"/>
                <w:sz w:val="24"/>
              </w:rPr>
              <w:t xml:space="preserve"> exporter”</w:t>
            </w:r>
            <w:r w:rsidR="00DA5B8A">
              <w:rPr>
                <w:rFonts w:ascii="Times New Roman" w:eastAsia="Times New Roman" w:hAnsi="Times New Roman"/>
                <w:color w:val="0070C0"/>
                <w:sz w:val="24"/>
              </w:rPr>
              <w:t xml:space="preserve"> status</w:t>
            </w:r>
            <w:r>
              <w:rPr>
                <w:rFonts w:ascii="Times New Roman" w:eastAsia="Times New Roman" w:hAnsi="Times New Roman"/>
                <w:color w:val="0070C0"/>
                <w:sz w:val="24"/>
              </w:rPr>
              <w:t>)</w:t>
            </w:r>
            <w:r w:rsidR="00DA5B8A">
              <w:rPr>
                <w:rFonts w:ascii="Times New Roman" w:eastAsia="Times New Roman" w:hAnsi="Times New Roman"/>
                <w:color w:val="0070C0"/>
                <w:sz w:val="24"/>
              </w:rPr>
              <w:t>; Does the COM and / or MS intend to inform operators about the procedural aspects?</w:t>
            </w:r>
          </w:p>
          <w:p w14:paraId="7714714B" w14:textId="77777777" w:rsidR="00EA4658" w:rsidRDefault="00EA4658" w:rsidP="004A2210">
            <w:pPr>
              <w:tabs>
                <w:tab w:val="left" w:pos="500"/>
              </w:tabs>
              <w:spacing w:line="0" w:lineRule="atLeast"/>
              <w:jc w:val="both"/>
              <w:rPr>
                <w:rFonts w:ascii="Times New Roman" w:eastAsia="Times New Roman" w:hAnsi="Times New Roman"/>
                <w:color w:val="222222"/>
                <w:sz w:val="24"/>
              </w:rPr>
            </w:pPr>
          </w:p>
        </w:tc>
      </w:tr>
    </w:tbl>
    <w:p w14:paraId="714311CB" w14:textId="77777777" w:rsidR="004A2210" w:rsidRDefault="004A2210" w:rsidP="004A2210">
      <w:pPr>
        <w:tabs>
          <w:tab w:val="left" w:pos="500"/>
        </w:tabs>
        <w:spacing w:line="0" w:lineRule="atLeast"/>
        <w:jc w:val="both"/>
        <w:rPr>
          <w:rFonts w:ascii="Times New Roman" w:eastAsia="Times New Roman" w:hAnsi="Times New Roman"/>
          <w:color w:val="222222"/>
          <w:sz w:val="24"/>
        </w:rPr>
      </w:pPr>
    </w:p>
    <w:p w14:paraId="350E9FC5" w14:textId="77777777" w:rsidR="005E5006" w:rsidRDefault="005E5006">
      <w:pPr>
        <w:spacing w:line="120" w:lineRule="exact"/>
        <w:rPr>
          <w:rFonts w:ascii="Times New Roman" w:eastAsia="Times New Roman" w:hAnsi="Times New Roman"/>
          <w:color w:val="222222"/>
          <w:sz w:val="24"/>
        </w:rPr>
      </w:pPr>
    </w:p>
    <w:p w14:paraId="0D140855" w14:textId="77777777" w:rsidR="005E5006" w:rsidRPr="003F7496" w:rsidRDefault="005E5006">
      <w:pPr>
        <w:numPr>
          <w:ilvl w:val="0"/>
          <w:numId w:val="5"/>
        </w:numPr>
        <w:tabs>
          <w:tab w:val="left" w:pos="500"/>
        </w:tabs>
        <w:spacing w:line="0" w:lineRule="atLeast"/>
        <w:ind w:left="500" w:hanging="352"/>
        <w:jc w:val="both"/>
        <w:rPr>
          <w:rFonts w:ascii="Times New Roman" w:eastAsia="Times New Roman" w:hAnsi="Times New Roman"/>
          <w:color w:val="222222"/>
          <w:sz w:val="24"/>
        </w:rPr>
      </w:pPr>
      <w:r>
        <w:rPr>
          <w:rFonts w:ascii="Times New Roman" w:eastAsia="Times New Roman" w:hAnsi="Times New Roman"/>
          <w:sz w:val="24"/>
        </w:rPr>
        <w:t>Agri Trade Negotiations – prospects for 2017, including a focus on EU-Japan FTA</w:t>
      </w:r>
    </w:p>
    <w:p w14:paraId="54906E75" w14:textId="77777777" w:rsidR="003F7496" w:rsidRDefault="003F7496" w:rsidP="003F7496">
      <w:pPr>
        <w:tabs>
          <w:tab w:val="left" w:pos="500"/>
        </w:tabs>
        <w:spacing w:line="0" w:lineRule="atLeast"/>
        <w:jc w:val="both"/>
        <w:rPr>
          <w:rFonts w:ascii="Times New Roman" w:eastAsia="Times New Roman" w:hAnsi="Times New Roman"/>
          <w:sz w:val="24"/>
        </w:rPr>
      </w:pPr>
    </w:p>
    <w:tbl>
      <w:tblPr>
        <w:tblStyle w:val="TableGrid"/>
        <w:tblW w:w="0" w:type="auto"/>
        <w:tblLook w:val="04A0" w:firstRow="1" w:lastRow="0" w:firstColumn="1" w:lastColumn="0" w:noHBand="0" w:noVBand="1"/>
      </w:tblPr>
      <w:tblGrid>
        <w:gridCol w:w="9436"/>
      </w:tblGrid>
      <w:tr w:rsidR="003F7496" w14:paraId="7FA551B7" w14:textId="77777777" w:rsidTr="003F7496">
        <w:tc>
          <w:tcPr>
            <w:tcW w:w="9436" w:type="dxa"/>
          </w:tcPr>
          <w:p w14:paraId="43EA6694" w14:textId="77777777" w:rsidR="003F7496" w:rsidRPr="00D64650" w:rsidRDefault="000A4539" w:rsidP="000A4539">
            <w:pPr>
              <w:tabs>
                <w:tab w:val="left" w:pos="500"/>
              </w:tabs>
              <w:spacing w:line="0" w:lineRule="atLeast"/>
              <w:jc w:val="both"/>
              <w:rPr>
                <w:rFonts w:ascii="Times New Roman" w:eastAsia="Times New Roman" w:hAnsi="Times New Roman"/>
                <w:color w:val="0070C0"/>
                <w:sz w:val="24"/>
                <w:u w:val="single"/>
              </w:rPr>
            </w:pPr>
            <w:r w:rsidRPr="00D64650">
              <w:rPr>
                <w:rFonts w:ascii="Times New Roman" w:eastAsia="Times New Roman" w:hAnsi="Times New Roman"/>
                <w:color w:val="0070C0"/>
                <w:sz w:val="24"/>
                <w:u w:val="single"/>
              </w:rPr>
              <w:t xml:space="preserve">General </w:t>
            </w:r>
          </w:p>
          <w:p w14:paraId="126E2112" w14:textId="40419A50" w:rsidR="000A4539" w:rsidRDefault="000A4539" w:rsidP="000A4539">
            <w:pPr>
              <w:numPr>
                <w:ilvl w:val="0"/>
                <w:numId w:val="11"/>
              </w:numPr>
              <w:tabs>
                <w:tab w:val="left" w:pos="500"/>
              </w:tabs>
              <w:spacing w:line="0" w:lineRule="atLeast"/>
              <w:jc w:val="both"/>
              <w:rPr>
                <w:rFonts w:ascii="Times New Roman" w:eastAsia="Times New Roman" w:hAnsi="Times New Roman"/>
                <w:color w:val="0070C0"/>
                <w:sz w:val="24"/>
              </w:rPr>
            </w:pPr>
            <w:r>
              <w:rPr>
                <w:rFonts w:ascii="Times New Roman" w:eastAsia="Times New Roman" w:hAnsi="Times New Roman"/>
                <w:color w:val="0070C0"/>
                <w:sz w:val="24"/>
              </w:rPr>
              <w:t>Obtain clarity on the EU calendar and agri-food trade</w:t>
            </w:r>
            <w:r w:rsidR="00A843B1">
              <w:rPr>
                <w:rFonts w:ascii="Times New Roman" w:eastAsia="Times New Roman" w:hAnsi="Times New Roman"/>
                <w:color w:val="0070C0"/>
                <w:sz w:val="24"/>
              </w:rPr>
              <w:t xml:space="preserve"> related negotiations for 2017, such as </w:t>
            </w:r>
            <w:r>
              <w:rPr>
                <w:rFonts w:ascii="Times New Roman" w:eastAsia="Times New Roman" w:hAnsi="Times New Roman"/>
                <w:color w:val="0070C0"/>
                <w:sz w:val="24"/>
              </w:rPr>
              <w:t xml:space="preserve">EU-Mexico, EU-Mercosur, EU-Philippines, EU-Indonesia, EU-Vietnam </w:t>
            </w:r>
            <w:r w:rsidR="001E6BC8">
              <w:rPr>
                <w:rFonts w:ascii="Times New Roman" w:eastAsia="Times New Roman" w:hAnsi="Times New Roman"/>
                <w:color w:val="0070C0"/>
                <w:sz w:val="24"/>
              </w:rPr>
              <w:t>(pending ratification).</w:t>
            </w:r>
            <w:r>
              <w:rPr>
                <w:rFonts w:ascii="Times New Roman" w:eastAsia="Times New Roman" w:hAnsi="Times New Roman"/>
                <w:color w:val="0070C0"/>
                <w:sz w:val="24"/>
              </w:rPr>
              <w:t xml:space="preserve"> </w:t>
            </w:r>
          </w:p>
          <w:p w14:paraId="25F77932" w14:textId="77777777" w:rsidR="00D64650" w:rsidRDefault="00D64650" w:rsidP="00D64650">
            <w:pPr>
              <w:tabs>
                <w:tab w:val="left" w:pos="500"/>
              </w:tabs>
              <w:spacing w:line="0" w:lineRule="atLeast"/>
              <w:rPr>
                <w:rFonts w:ascii="Times New Roman" w:eastAsia="Times New Roman" w:hAnsi="Times New Roman"/>
                <w:i/>
                <w:color w:val="0070C0"/>
                <w:sz w:val="24"/>
              </w:rPr>
            </w:pPr>
            <w:r w:rsidRPr="00D64650">
              <w:rPr>
                <w:rFonts w:ascii="Times New Roman" w:eastAsia="Times New Roman" w:hAnsi="Times New Roman"/>
                <w:color w:val="0070C0"/>
                <w:sz w:val="24"/>
              </w:rPr>
              <w:t>Background docs:</w:t>
            </w:r>
            <w:r>
              <w:rPr>
                <w:rFonts w:ascii="Times New Roman" w:eastAsia="Times New Roman" w:hAnsi="Times New Roman"/>
                <w:color w:val="0070C0"/>
                <w:sz w:val="24"/>
                <w:u w:val="single"/>
              </w:rPr>
              <w:t xml:space="preserve"> </w:t>
            </w:r>
          </w:p>
          <w:p w14:paraId="21F13BD9" w14:textId="77777777" w:rsidR="00D64650" w:rsidRPr="003F7496" w:rsidRDefault="00D64650" w:rsidP="00D64650">
            <w:pPr>
              <w:numPr>
                <w:ilvl w:val="0"/>
                <w:numId w:val="11"/>
              </w:numPr>
              <w:tabs>
                <w:tab w:val="left" w:pos="500"/>
              </w:tabs>
              <w:spacing w:line="0" w:lineRule="atLeast"/>
              <w:rPr>
                <w:rFonts w:ascii="Times New Roman" w:eastAsia="Times New Roman" w:hAnsi="Times New Roman"/>
                <w:color w:val="0070C0"/>
                <w:sz w:val="24"/>
                <w:u w:val="single"/>
              </w:rPr>
            </w:pPr>
            <w:r w:rsidRPr="003F7496">
              <w:rPr>
                <w:rFonts w:ascii="Times New Roman" w:eastAsia="Times New Roman" w:hAnsi="Times New Roman"/>
                <w:i/>
                <w:color w:val="0070C0"/>
                <w:sz w:val="24"/>
              </w:rPr>
              <w:t>COMP/TRADE/035/17</w:t>
            </w:r>
            <w:r w:rsidRPr="003F7496">
              <w:rPr>
                <w:rFonts w:ascii="Times New Roman" w:eastAsia="Times New Roman" w:hAnsi="Times New Roman"/>
                <w:color w:val="0070C0"/>
                <w:sz w:val="24"/>
              </w:rPr>
              <w:t xml:space="preserve"> – Overview of EU – third country bilateral relations</w:t>
            </w:r>
          </w:p>
          <w:p w14:paraId="3E91AEA7" w14:textId="77777777" w:rsidR="000A4539" w:rsidRDefault="000A4539" w:rsidP="000A4539">
            <w:pPr>
              <w:tabs>
                <w:tab w:val="left" w:pos="500"/>
              </w:tabs>
              <w:spacing w:line="0" w:lineRule="atLeast"/>
              <w:jc w:val="both"/>
              <w:rPr>
                <w:rFonts w:ascii="Times New Roman" w:eastAsia="Times New Roman" w:hAnsi="Times New Roman"/>
                <w:color w:val="0070C0"/>
                <w:sz w:val="24"/>
              </w:rPr>
            </w:pPr>
          </w:p>
          <w:p w14:paraId="75E606B2" w14:textId="77777777" w:rsidR="003F7496" w:rsidRPr="00D64650" w:rsidRDefault="000A4539" w:rsidP="000A4539">
            <w:pPr>
              <w:tabs>
                <w:tab w:val="left" w:pos="500"/>
              </w:tabs>
              <w:spacing w:line="0" w:lineRule="atLeast"/>
              <w:jc w:val="both"/>
              <w:rPr>
                <w:rFonts w:ascii="Times New Roman" w:eastAsia="Times New Roman" w:hAnsi="Times New Roman"/>
                <w:color w:val="0070C0"/>
                <w:sz w:val="24"/>
                <w:u w:val="single"/>
              </w:rPr>
            </w:pPr>
            <w:r w:rsidRPr="00D64650">
              <w:rPr>
                <w:rFonts w:ascii="Times New Roman" w:eastAsia="Times New Roman" w:hAnsi="Times New Roman"/>
                <w:color w:val="0070C0"/>
                <w:sz w:val="24"/>
                <w:u w:val="single"/>
              </w:rPr>
              <w:t>EU-Japan</w:t>
            </w:r>
          </w:p>
          <w:p w14:paraId="149BC630" w14:textId="566A5890" w:rsidR="00282CEF" w:rsidRPr="00B72ABA" w:rsidRDefault="00282CEF" w:rsidP="00282CEF">
            <w:pPr>
              <w:numPr>
                <w:ilvl w:val="0"/>
                <w:numId w:val="11"/>
              </w:numPr>
              <w:tabs>
                <w:tab w:val="left" w:pos="500"/>
              </w:tabs>
              <w:spacing w:line="0" w:lineRule="atLeast"/>
              <w:jc w:val="both"/>
              <w:rPr>
                <w:rFonts w:ascii="Times New Roman" w:eastAsia="Times New Roman" w:hAnsi="Times New Roman"/>
                <w:color w:val="0070C0"/>
                <w:sz w:val="24"/>
                <w:u w:val="single"/>
              </w:rPr>
            </w:pPr>
            <w:r>
              <w:rPr>
                <w:rFonts w:ascii="Times New Roman" w:eastAsia="Times New Roman" w:hAnsi="Times New Roman"/>
                <w:color w:val="0070C0"/>
                <w:sz w:val="24"/>
              </w:rPr>
              <w:t xml:space="preserve">   Enquire about state of play and </w:t>
            </w:r>
            <w:r w:rsidR="00D9102E" w:rsidRPr="00B72ABA">
              <w:rPr>
                <w:rFonts w:ascii="Times New Roman" w:eastAsia="Times New Roman" w:hAnsi="Times New Roman"/>
                <w:color w:val="0070C0"/>
                <w:sz w:val="24"/>
                <w:u w:val="single"/>
              </w:rPr>
              <w:t>express</w:t>
            </w:r>
            <w:r w:rsidRPr="00B72ABA">
              <w:rPr>
                <w:rFonts w:ascii="Times New Roman" w:eastAsia="Times New Roman" w:hAnsi="Times New Roman"/>
                <w:color w:val="0070C0"/>
                <w:sz w:val="24"/>
                <w:u w:val="single"/>
              </w:rPr>
              <w:t xml:space="preserve"> support</w:t>
            </w:r>
            <w:r w:rsidR="002A1082" w:rsidRPr="00B72ABA">
              <w:rPr>
                <w:rFonts w:ascii="Times New Roman" w:eastAsia="Times New Roman" w:hAnsi="Times New Roman"/>
                <w:color w:val="0070C0"/>
                <w:sz w:val="24"/>
                <w:u w:val="single"/>
              </w:rPr>
              <w:t xml:space="preserve"> for an ambitious EU-Japan </w:t>
            </w:r>
            <w:r w:rsidR="00CA5A39" w:rsidRPr="00B72ABA">
              <w:rPr>
                <w:rFonts w:ascii="Times New Roman" w:eastAsia="Times New Roman" w:hAnsi="Times New Roman"/>
                <w:color w:val="0070C0"/>
                <w:sz w:val="24"/>
                <w:u w:val="single"/>
              </w:rPr>
              <w:t>FTA</w:t>
            </w:r>
            <w:r w:rsidRPr="00B72ABA">
              <w:rPr>
                <w:rFonts w:ascii="Times New Roman" w:eastAsia="Times New Roman" w:hAnsi="Times New Roman"/>
                <w:color w:val="0070C0"/>
                <w:sz w:val="24"/>
                <w:u w:val="single"/>
              </w:rPr>
              <w:t>.</w:t>
            </w:r>
          </w:p>
          <w:p w14:paraId="7765580F" w14:textId="5C00D5FC" w:rsidR="004A2F7C" w:rsidRDefault="002A1082" w:rsidP="00400FD8">
            <w:pPr>
              <w:numPr>
                <w:ilvl w:val="0"/>
                <w:numId w:val="11"/>
              </w:numPr>
              <w:tabs>
                <w:tab w:val="left" w:pos="500"/>
              </w:tabs>
              <w:spacing w:line="0" w:lineRule="atLeast"/>
              <w:jc w:val="both"/>
              <w:rPr>
                <w:rFonts w:ascii="Times New Roman" w:eastAsia="Times New Roman" w:hAnsi="Times New Roman"/>
                <w:color w:val="0070C0"/>
                <w:sz w:val="24"/>
              </w:rPr>
            </w:pPr>
            <w:r>
              <w:rPr>
                <w:rFonts w:ascii="Times New Roman" w:eastAsia="Times New Roman" w:hAnsi="Times New Roman"/>
                <w:color w:val="0070C0"/>
                <w:sz w:val="24"/>
              </w:rPr>
              <w:t xml:space="preserve">   </w:t>
            </w:r>
            <w:r w:rsidR="00400FD8">
              <w:rPr>
                <w:rFonts w:ascii="Times New Roman" w:eastAsia="Times New Roman" w:hAnsi="Times New Roman"/>
                <w:color w:val="0070C0"/>
                <w:sz w:val="24"/>
              </w:rPr>
              <w:t xml:space="preserve">From the start, </w:t>
            </w:r>
            <w:r w:rsidR="00400FD8" w:rsidRPr="00400FD8">
              <w:rPr>
                <w:rFonts w:ascii="Times New Roman" w:eastAsia="Times New Roman" w:hAnsi="Times New Roman"/>
                <w:color w:val="0070C0"/>
                <w:sz w:val="24"/>
              </w:rPr>
              <w:t xml:space="preserve">FoodDrinkEurope </w:t>
            </w:r>
            <w:r w:rsidR="00D56C8E">
              <w:rPr>
                <w:rFonts w:ascii="Times New Roman" w:eastAsia="Times New Roman" w:hAnsi="Times New Roman"/>
                <w:color w:val="0070C0"/>
                <w:sz w:val="24"/>
              </w:rPr>
              <w:t xml:space="preserve">has </w:t>
            </w:r>
            <w:r w:rsidR="00400FD8">
              <w:rPr>
                <w:rFonts w:ascii="Times New Roman" w:eastAsia="Times New Roman" w:hAnsi="Times New Roman"/>
                <w:color w:val="0070C0"/>
                <w:sz w:val="24"/>
              </w:rPr>
              <w:t>supported</w:t>
            </w:r>
            <w:r w:rsidR="00400FD8" w:rsidRPr="00400FD8">
              <w:rPr>
                <w:rFonts w:ascii="Times New Roman" w:eastAsia="Times New Roman" w:hAnsi="Times New Roman"/>
                <w:color w:val="0070C0"/>
                <w:sz w:val="24"/>
              </w:rPr>
              <w:t xml:space="preserve"> an FTA that will both (1) substantially improve market access for European food and drink products in Japan and (2) tackle regulatory barriers.</w:t>
            </w:r>
          </w:p>
          <w:p w14:paraId="370EEC17" w14:textId="77777777" w:rsidR="00D64650" w:rsidRDefault="00D64650" w:rsidP="00D64650">
            <w:pPr>
              <w:tabs>
                <w:tab w:val="left" w:pos="500"/>
              </w:tabs>
              <w:spacing w:line="0" w:lineRule="atLeast"/>
              <w:jc w:val="both"/>
              <w:rPr>
                <w:rFonts w:ascii="Times New Roman" w:eastAsia="Times New Roman" w:hAnsi="Times New Roman"/>
                <w:color w:val="0070C0"/>
                <w:sz w:val="24"/>
              </w:rPr>
            </w:pPr>
          </w:p>
          <w:p w14:paraId="5284013A" w14:textId="77777777" w:rsidR="00D64650" w:rsidRPr="00D64650" w:rsidRDefault="00D64650" w:rsidP="00D64650">
            <w:pPr>
              <w:tabs>
                <w:tab w:val="left" w:pos="500"/>
              </w:tabs>
              <w:spacing w:line="0" w:lineRule="atLeast"/>
              <w:jc w:val="both"/>
              <w:rPr>
                <w:rFonts w:ascii="Times New Roman" w:eastAsia="Times New Roman" w:hAnsi="Times New Roman"/>
                <w:color w:val="0070C0"/>
                <w:sz w:val="24"/>
              </w:rPr>
            </w:pPr>
            <w:r>
              <w:rPr>
                <w:rFonts w:ascii="Times New Roman" w:eastAsia="Times New Roman" w:hAnsi="Times New Roman"/>
                <w:color w:val="0070C0"/>
                <w:sz w:val="24"/>
              </w:rPr>
              <w:t>Background docs:</w:t>
            </w:r>
          </w:p>
          <w:p w14:paraId="2D2FE3DD" w14:textId="77777777" w:rsidR="00282CEF" w:rsidRPr="00282CEF" w:rsidRDefault="00282CEF" w:rsidP="00282CEF">
            <w:pPr>
              <w:numPr>
                <w:ilvl w:val="0"/>
                <w:numId w:val="11"/>
              </w:numPr>
              <w:tabs>
                <w:tab w:val="left" w:pos="500"/>
              </w:tabs>
              <w:spacing w:line="0" w:lineRule="atLeast"/>
              <w:jc w:val="both"/>
              <w:rPr>
                <w:rFonts w:ascii="Times New Roman" w:eastAsia="Times New Roman" w:hAnsi="Times New Roman"/>
                <w:color w:val="0070C0"/>
                <w:sz w:val="24"/>
              </w:rPr>
            </w:pPr>
            <w:r>
              <w:rPr>
                <w:rFonts w:ascii="Times New Roman" w:eastAsia="Times New Roman" w:hAnsi="Times New Roman"/>
                <w:color w:val="0070C0"/>
                <w:sz w:val="24"/>
              </w:rPr>
              <w:t xml:space="preserve">    </w:t>
            </w:r>
            <w:r w:rsidRPr="00282CEF">
              <w:rPr>
                <w:rFonts w:ascii="Times New Roman" w:eastAsia="Times New Roman" w:hAnsi="Times New Roman"/>
                <w:color w:val="0070C0"/>
                <w:sz w:val="24"/>
              </w:rPr>
              <w:t>Summary report of meeting with Mr Mauro Petriccione (DG Trade and Chief Negotiations for EU-Japan) – COMP/TRADE/009/17</w:t>
            </w:r>
          </w:p>
          <w:p w14:paraId="21456E4D" w14:textId="77777777" w:rsidR="000A4539" w:rsidRPr="003F7496" w:rsidRDefault="00282CEF" w:rsidP="00282CEF">
            <w:pPr>
              <w:numPr>
                <w:ilvl w:val="0"/>
                <w:numId w:val="11"/>
              </w:numPr>
              <w:tabs>
                <w:tab w:val="left" w:pos="500"/>
              </w:tabs>
              <w:spacing w:line="0" w:lineRule="atLeast"/>
              <w:jc w:val="both"/>
              <w:rPr>
                <w:rFonts w:ascii="Times New Roman" w:eastAsia="Times New Roman" w:hAnsi="Times New Roman"/>
                <w:color w:val="0070C0"/>
                <w:sz w:val="24"/>
              </w:rPr>
            </w:pPr>
            <w:r w:rsidRPr="00282CEF">
              <w:rPr>
                <w:rFonts w:ascii="Times New Roman" w:eastAsia="Times New Roman" w:hAnsi="Times New Roman"/>
                <w:color w:val="0070C0"/>
                <w:sz w:val="24"/>
              </w:rPr>
              <w:tab/>
              <w:t>FoodDrinkEurope priorities – COMP/TRADE/289/15</w:t>
            </w:r>
          </w:p>
        </w:tc>
      </w:tr>
    </w:tbl>
    <w:p w14:paraId="043CE035" w14:textId="77777777" w:rsidR="003F7496" w:rsidRDefault="003F7496" w:rsidP="003F7496">
      <w:pPr>
        <w:tabs>
          <w:tab w:val="left" w:pos="500"/>
        </w:tabs>
        <w:spacing w:line="0" w:lineRule="atLeast"/>
        <w:jc w:val="both"/>
        <w:rPr>
          <w:rFonts w:ascii="Times New Roman" w:eastAsia="Times New Roman" w:hAnsi="Times New Roman"/>
          <w:color w:val="222222"/>
          <w:sz w:val="24"/>
        </w:rPr>
      </w:pPr>
    </w:p>
    <w:p w14:paraId="2E71F525" w14:textId="77777777" w:rsidR="005E5006" w:rsidRDefault="005E5006">
      <w:pPr>
        <w:spacing w:line="132" w:lineRule="exact"/>
        <w:rPr>
          <w:rFonts w:ascii="Times New Roman" w:eastAsia="Times New Roman" w:hAnsi="Times New Roman"/>
          <w:color w:val="222222"/>
          <w:sz w:val="24"/>
        </w:rPr>
      </w:pPr>
    </w:p>
    <w:p w14:paraId="64D66681" w14:textId="77777777" w:rsidR="005E5006" w:rsidRDefault="005E5006">
      <w:pPr>
        <w:numPr>
          <w:ilvl w:val="0"/>
          <w:numId w:val="5"/>
        </w:numPr>
        <w:tabs>
          <w:tab w:val="left" w:pos="500"/>
        </w:tabs>
        <w:spacing w:line="234" w:lineRule="auto"/>
        <w:ind w:left="500" w:right="600" w:hanging="352"/>
        <w:jc w:val="both"/>
        <w:rPr>
          <w:rFonts w:ascii="Times New Roman" w:eastAsia="Times New Roman" w:hAnsi="Times New Roman"/>
          <w:color w:val="222222"/>
          <w:sz w:val="24"/>
        </w:rPr>
      </w:pPr>
      <w:r>
        <w:rPr>
          <w:rFonts w:ascii="Times New Roman" w:eastAsia="Times New Roman" w:hAnsi="Times New Roman"/>
          <w:color w:val="222222"/>
          <w:sz w:val="24"/>
        </w:rPr>
        <w:t>Trade promotion / Business diplomacy, in particular business delegation visit to Iran and Canada</w:t>
      </w:r>
      <w:r w:rsidR="00D64650">
        <w:rPr>
          <w:rFonts w:ascii="Times New Roman" w:eastAsia="Times New Roman" w:hAnsi="Times New Roman"/>
          <w:color w:val="222222"/>
          <w:sz w:val="24"/>
        </w:rPr>
        <w:t xml:space="preserve"> </w:t>
      </w:r>
    </w:p>
    <w:p w14:paraId="10274971" w14:textId="77777777" w:rsidR="00574419" w:rsidRDefault="00574419" w:rsidP="00574419">
      <w:pPr>
        <w:tabs>
          <w:tab w:val="left" w:pos="500"/>
        </w:tabs>
        <w:spacing w:line="234" w:lineRule="auto"/>
        <w:ind w:right="600"/>
        <w:jc w:val="both"/>
        <w:rPr>
          <w:rFonts w:ascii="Times New Roman" w:eastAsia="Times New Roman" w:hAnsi="Times New Roman"/>
          <w:color w:val="222222"/>
          <w:sz w:val="24"/>
        </w:rPr>
      </w:pPr>
    </w:p>
    <w:tbl>
      <w:tblPr>
        <w:tblStyle w:val="TableGrid"/>
        <w:tblW w:w="0" w:type="auto"/>
        <w:tblLook w:val="04A0" w:firstRow="1" w:lastRow="0" w:firstColumn="1" w:lastColumn="0" w:noHBand="0" w:noVBand="1"/>
      </w:tblPr>
      <w:tblGrid>
        <w:gridCol w:w="9436"/>
      </w:tblGrid>
      <w:tr w:rsidR="00574419" w14:paraId="3D445CF9" w14:textId="77777777" w:rsidTr="00574419">
        <w:tc>
          <w:tcPr>
            <w:tcW w:w="9436" w:type="dxa"/>
          </w:tcPr>
          <w:p w14:paraId="4E394114" w14:textId="77777777" w:rsidR="00574419" w:rsidRPr="00D64650" w:rsidRDefault="00574419" w:rsidP="00574419">
            <w:pPr>
              <w:tabs>
                <w:tab w:val="left" w:pos="500"/>
              </w:tabs>
              <w:spacing w:line="234" w:lineRule="auto"/>
              <w:ind w:right="600"/>
              <w:jc w:val="both"/>
              <w:rPr>
                <w:rFonts w:ascii="Times New Roman" w:eastAsia="Times New Roman" w:hAnsi="Times New Roman"/>
                <w:color w:val="0070C0"/>
                <w:sz w:val="24"/>
                <w:u w:val="single"/>
              </w:rPr>
            </w:pPr>
            <w:r w:rsidRPr="00D64650">
              <w:rPr>
                <w:rFonts w:ascii="Times New Roman" w:eastAsia="Times New Roman" w:hAnsi="Times New Roman"/>
                <w:color w:val="0070C0"/>
                <w:sz w:val="24"/>
                <w:u w:val="single"/>
              </w:rPr>
              <w:t>High-level mission to Canada (1-3 May 2017)</w:t>
            </w:r>
          </w:p>
          <w:p w14:paraId="05826B9E" w14:textId="77777777" w:rsidR="00D64650" w:rsidRDefault="00D64650" w:rsidP="00574419">
            <w:pPr>
              <w:tabs>
                <w:tab w:val="left" w:pos="500"/>
              </w:tabs>
              <w:spacing w:line="234" w:lineRule="auto"/>
              <w:ind w:right="600"/>
              <w:jc w:val="both"/>
              <w:rPr>
                <w:rFonts w:ascii="Times New Roman" w:eastAsia="Times New Roman" w:hAnsi="Times New Roman"/>
                <w:color w:val="0070C0"/>
                <w:sz w:val="24"/>
              </w:rPr>
            </w:pPr>
          </w:p>
          <w:p w14:paraId="77674D95" w14:textId="77777777" w:rsidR="00D64650" w:rsidRDefault="00D64650" w:rsidP="00D64650">
            <w:pPr>
              <w:numPr>
                <w:ilvl w:val="0"/>
                <w:numId w:val="12"/>
              </w:numPr>
              <w:tabs>
                <w:tab w:val="left" w:pos="500"/>
              </w:tabs>
              <w:spacing w:line="234" w:lineRule="auto"/>
              <w:ind w:right="600"/>
              <w:jc w:val="both"/>
              <w:rPr>
                <w:rFonts w:ascii="Times New Roman" w:eastAsia="Times New Roman" w:hAnsi="Times New Roman"/>
                <w:color w:val="0070C0"/>
                <w:sz w:val="24"/>
              </w:rPr>
            </w:pPr>
            <w:r>
              <w:rPr>
                <w:rFonts w:ascii="Times New Roman" w:eastAsia="Times New Roman" w:hAnsi="Times New Roman"/>
                <w:color w:val="0070C0"/>
                <w:sz w:val="24"/>
              </w:rPr>
              <w:t xml:space="preserve"> Express support for the EU promotion and information campaigns incl. EU high-</w:t>
            </w:r>
          </w:p>
          <w:p w14:paraId="51184E61" w14:textId="77777777" w:rsidR="00574419" w:rsidRDefault="00D64650" w:rsidP="00D64650">
            <w:pPr>
              <w:tabs>
                <w:tab w:val="left" w:pos="500"/>
              </w:tabs>
              <w:spacing w:line="234" w:lineRule="auto"/>
              <w:ind w:left="360" w:right="600"/>
              <w:jc w:val="both"/>
              <w:rPr>
                <w:rFonts w:ascii="Times New Roman" w:eastAsia="Times New Roman" w:hAnsi="Times New Roman"/>
                <w:color w:val="0070C0"/>
                <w:sz w:val="24"/>
              </w:rPr>
            </w:pPr>
            <w:r>
              <w:rPr>
                <w:rFonts w:ascii="Times New Roman" w:eastAsia="Times New Roman" w:hAnsi="Times New Roman"/>
                <w:color w:val="0070C0"/>
                <w:sz w:val="24"/>
              </w:rPr>
              <w:t xml:space="preserve">   level missions to third countries – to help EU exporters access new markets. </w:t>
            </w:r>
          </w:p>
          <w:p w14:paraId="2C83C5D1" w14:textId="77777777" w:rsidR="00D64650" w:rsidRDefault="00D64650" w:rsidP="00D64650">
            <w:pPr>
              <w:numPr>
                <w:ilvl w:val="0"/>
                <w:numId w:val="12"/>
              </w:numPr>
              <w:tabs>
                <w:tab w:val="left" w:pos="500"/>
              </w:tabs>
              <w:spacing w:line="234" w:lineRule="auto"/>
              <w:ind w:right="600"/>
              <w:jc w:val="both"/>
              <w:rPr>
                <w:rFonts w:ascii="Times New Roman" w:eastAsia="Times New Roman" w:hAnsi="Times New Roman"/>
                <w:color w:val="0070C0"/>
                <w:sz w:val="24"/>
              </w:rPr>
            </w:pPr>
            <w:r>
              <w:rPr>
                <w:rFonts w:ascii="Times New Roman" w:eastAsia="Times New Roman" w:hAnsi="Times New Roman"/>
                <w:color w:val="0070C0"/>
                <w:sz w:val="24"/>
              </w:rPr>
              <w:t xml:space="preserve">FoodDrinkEurope Director General, Ms Mella Frewen, has registered </w:t>
            </w:r>
            <w:r w:rsidR="00EE4EBB">
              <w:rPr>
                <w:rFonts w:ascii="Times New Roman" w:eastAsia="Times New Roman" w:hAnsi="Times New Roman"/>
                <w:color w:val="0070C0"/>
                <w:sz w:val="24"/>
              </w:rPr>
              <w:t xml:space="preserve">for the next mission to Canada and looks forward to participate for the first time. The mission is particularly timely in view of the provisional application of the EU-Canada CETA agreement – and the benefits this agreement will bring for the EU food and drink sector. </w:t>
            </w:r>
          </w:p>
          <w:p w14:paraId="5648AFF3" w14:textId="77777777" w:rsidR="00D64650" w:rsidRDefault="00D64650" w:rsidP="00574419">
            <w:pPr>
              <w:tabs>
                <w:tab w:val="left" w:pos="500"/>
              </w:tabs>
              <w:spacing w:line="234" w:lineRule="auto"/>
              <w:ind w:right="600"/>
              <w:jc w:val="both"/>
              <w:rPr>
                <w:rFonts w:ascii="Times New Roman" w:eastAsia="Times New Roman" w:hAnsi="Times New Roman"/>
                <w:color w:val="0070C0"/>
                <w:sz w:val="24"/>
              </w:rPr>
            </w:pPr>
          </w:p>
          <w:p w14:paraId="3D92F2FD" w14:textId="77777777" w:rsidR="00574419" w:rsidRDefault="00574419" w:rsidP="00574419">
            <w:pPr>
              <w:tabs>
                <w:tab w:val="left" w:pos="500"/>
              </w:tabs>
              <w:spacing w:line="234" w:lineRule="auto"/>
              <w:ind w:right="600"/>
              <w:jc w:val="both"/>
              <w:rPr>
                <w:rFonts w:ascii="Times New Roman" w:eastAsia="Times New Roman" w:hAnsi="Times New Roman"/>
                <w:color w:val="0070C0"/>
                <w:sz w:val="24"/>
              </w:rPr>
            </w:pPr>
            <w:r>
              <w:rPr>
                <w:rFonts w:ascii="Times New Roman" w:eastAsia="Times New Roman" w:hAnsi="Times New Roman"/>
                <w:color w:val="0070C0"/>
                <w:sz w:val="24"/>
              </w:rPr>
              <w:t>Backg</w:t>
            </w:r>
            <w:r w:rsidR="00D64650">
              <w:rPr>
                <w:rFonts w:ascii="Times New Roman" w:eastAsia="Times New Roman" w:hAnsi="Times New Roman"/>
                <w:color w:val="0070C0"/>
                <w:sz w:val="24"/>
              </w:rPr>
              <w:t>r</w:t>
            </w:r>
            <w:r>
              <w:rPr>
                <w:rFonts w:ascii="Times New Roman" w:eastAsia="Times New Roman" w:hAnsi="Times New Roman"/>
                <w:color w:val="0070C0"/>
                <w:sz w:val="24"/>
              </w:rPr>
              <w:t>ound</w:t>
            </w:r>
            <w:r w:rsidR="00D64650">
              <w:rPr>
                <w:rFonts w:ascii="Times New Roman" w:eastAsia="Times New Roman" w:hAnsi="Times New Roman"/>
                <w:color w:val="0070C0"/>
                <w:sz w:val="24"/>
              </w:rPr>
              <w:t xml:space="preserve"> docs:</w:t>
            </w:r>
          </w:p>
          <w:p w14:paraId="4980BB76" w14:textId="77777777" w:rsidR="00D64650" w:rsidRDefault="00D64650" w:rsidP="00D64650">
            <w:pPr>
              <w:numPr>
                <w:ilvl w:val="0"/>
                <w:numId w:val="12"/>
              </w:numPr>
              <w:tabs>
                <w:tab w:val="left" w:pos="500"/>
              </w:tabs>
              <w:spacing w:line="234" w:lineRule="auto"/>
              <w:ind w:right="600"/>
              <w:jc w:val="both"/>
              <w:rPr>
                <w:rFonts w:ascii="Times New Roman" w:eastAsia="Times New Roman" w:hAnsi="Times New Roman"/>
                <w:color w:val="0070C0"/>
                <w:sz w:val="24"/>
              </w:rPr>
            </w:pPr>
            <w:r>
              <w:rPr>
                <w:rFonts w:ascii="Times New Roman" w:eastAsia="Times New Roman" w:hAnsi="Times New Roman"/>
                <w:color w:val="0070C0"/>
                <w:sz w:val="24"/>
              </w:rPr>
              <w:t xml:space="preserve">  COMP/TRADE/017/17 </w:t>
            </w:r>
          </w:p>
          <w:p w14:paraId="6AA478C1" w14:textId="77777777" w:rsidR="00D64650" w:rsidRPr="00D64650" w:rsidRDefault="00D64650" w:rsidP="00D64650">
            <w:pPr>
              <w:numPr>
                <w:ilvl w:val="0"/>
                <w:numId w:val="12"/>
              </w:numPr>
              <w:tabs>
                <w:tab w:val="left" w:pos="500"/>
              </w:tabs>
              <w:spacing w:line="234" w:lineRule="auto"/>
              <w:ind w:right="600"/>
              <w:rPr>
                <w:rFonts w:ascii="Times New Roman" w:eastAsia="Times New Roman" w:hAnsi="Times New Roman"/>
                <w:color w:val="0070C0"/>
                <w:sz w:val="24"/>
              </w:rPr>
            </w:pPr>
            <w:r>
              <w:rPr>
                <w:rFonts w:ascii="Times New Roman" w:eastAsia="Times New Roman" w:hAnsi="Times New Roman"/>
                <w:color w:val="222222"/>
                <w:sz w:val="24"/>
              </w:rPr>
              <w:t xml:space="preserve"> ‘</w:t>
            </w:r>
            <w:r w:rsidRPr="00D64650">
              <w:rPr>
                <w:rFonts w:ascii="Times New Roman" w:eastAsia="Times New Roman" w:hAnsi="Times New Roman"/>
                <w:color w:val="222222"/>
                <w:sz w:val="24"/>
              </w:rPr>
              <w:t>Phil Hogan to visit Canada in European business offensive</w:t>
            </w:r>
            <w:r>
              <w:rPr>
                <w:rFonts w:ascii="Times New Roman" w:eastAsia="Times New Roman" w:hAnsi="Times New Roman"/>
                <w:color w:val="222222"/>
                <w:sz w:val="24"/>
              </w:rPr>
              <w:t xml:space="preserve">’, DG Agri  </w:t>
            </w:r>
            <w:hyperlink r:id="rId11" w:history="1">
              <w:r w:rsidRPr="00D64650">
                <w:rPr>
                  <w:rStyle w:val="Hyperlink"/>
                  <w:rFonts w:ascii="Times New Roman" w:eastAsia="Times New Roman" w:hAnsi="Times New Roman"/>
                  <w:sz w:val="24"/>
                </w:rPr>
                <w:t>https://ec.europa.eu/agriculture/events/commissioner-phil-hogan-official-visit-canada-1-452017_en</w:t>
              </w:r>
            </w:hyperlink>
            <w:r w:rsidRPr="00D64650">
              <w:rPr>
                <w:rFonts w:ascii="Times New Roman" w:eastAsia="Times New Roman" w:hAnsi="Times New Roman"/>
                <w:color w:val="222222"/>
                <w:sz w:val="24"/>
              </w:rPr>
              <w:t xml:space="preserve"> </w:t>
            </w:r>
          </w:p>
          <w:p w14:paraId="42B96A9E" w14:textId="77777777" w:rsidR="00D64650" w:rsidRDefault="00D64650" w:rsidP="00D64650">
            <w:pPr>
              <w:tabs>
                <w:tab w:val="left" w:pos="500"/>
              </w:tabs>
              <w:spacing w:line="234" w:lineRule="auto"/>
              <w:ind w:left="720" w:right="600"/>
              <w:jc w:val="both"/>
              <w:rPr>
                <w:rFonts w:ascii="Times New Roman" w:eastAsia="Times New Roman" w:hAnsi="Times New Roman"/>
                <w:color w:val="0070C0"/>
                <w:sz w:val="24"/>
              </w:rPr>
            </w:pPr>
          </w:p>
          <w:p w14:paraId="5E3BF574" w14:textId="77777777" w:rsidR="00D64650" w:rsidRPr="00574419" w:rsidRDefault="00D64650" w:rsidP="00D64650">
            <w:pPr>
              <w:tabs>
                <w:tab w:val="left" w:pos="500"/>
              </w:tabs>
              <w:spacing w:line="234" w:lineRule="auto"/>
              <w:ind w:right="600"/>
              <w:jc w:val="both"/>
              <w:rPr>
                <w:rFonts w:ascii="Times New Roman" w:eastAsia="Times New Roman" w:hAnsi="Times New Roman"/>
                <w:color w:val="0070C0"/>
                <w:sz w:val="24"/>
              </w:rPr>
            </w:pPr>
          </w:p>
        </w:tc>
      </w:tr>
    </w:tbl>
    <w:p w14:paraId="02AFA3A3" w14:textId="77777777" w:rsidR="005E5006" w:rsidRDefault="005E5006">
      <w:pPr>
        <w:spacing w:line="121" w:lineRule="exact"/>
        <w:rPr>
          <w:rFonts w:ascii="Times New Roman" w:eastAsia="Times New Roman" w:hAnsi="Times New Roman"/>
          <w:color w:val="222222"/>
          <w:sz w:val="24"/>
        </w:rPr>
      </w:pPr>
    </w:p>
    <w:p w14:paraId="27255C43" w14:textId="77777777" w:rsidR="005E5006" w:rsidRDefault="005E5006">
      <w:pPr>
        <w:numPr>
          <w:ilvl w:val="0"/>
          <w:numId w:val="5"/>
        </w:numPr>
        <w:tabs>
          <w:tab w:val="left" w:pos="500"/>
        </w:tabs>
        <w:spacing w:line="0" w:lineRule="atLeast"/>
        <w:ind w:left="500" w:hanging="352"/>
        <w:jc w:val="both"/>
        <w:rPr>
          <w:rFonts w:ascii="Times New Roman" w:eastAsia="Times New Roman" w:hAnsi="Times New Roman"/>
          <w:sz w:val="24"/>
        </w:rPr>
      </w:pPr>
      <w:r>
        <w:rPr>
          <w:rFonts w:ascii="Times New Roman" w:eastAsia="Times New Roman" w:hAnsi="Times New Roman"/>
          <w:sz w:val="24"/>
        </w:rPr>
        <w:t>COP 21</w:t>
      </w:r>
    </w:p>
    <w:p w14:paraId="5F514B16" w14:textId="77777777" w:rsidR="005E5006" w:rsidRDefault="005E5006">
      <w:pPr>
        <w:spacing w:line="132" w:lineRule="exact"/>
        <w:rPr>
          <w:rFonts w:ascii="Times New Roman" w:eastAsia="Times New Roman" w:hAnsi="Times New Roman"/>
          <w:sz w:val="24"/>
        </w:rPr>
      </w:pPr>
    </w:p>
    <w:p w14:paraId="4CBA662E" w14:textId="77777777" w:rsidR="005E5006" w:rsidRDefault="005E5006">
      <w:pPr>
        <w:numPr>
          <w:ilvl w:val="1"/>
          <w:numId w:val="5"/>
        </w:numPr>
        <w:tabs>
          <w:tab w:val="left" w:pos="1220"/>
        </w:tabs>
        <w:spacing w:line="234" w:lineRule="auto"/>
        <w:ind w:left="1220" w:right="760" w:hanging="352"/>
        <w:jc w:val="both"/>
        <w:rPr>
          <w:rFonts w:ascii="Times New Roman" w:eastAsia="Times New Roman" w:hAnsi="Times New Roman"/>
          <w:sz w:val="24"/>
        </w:rPr>
      </w:pPr>
      <w:r>
        <w:rPr>
          <w:rFonts w:ascii="Times New Roman" w:eastAsia="Times New Roman" w:hAnsi="Times New Roman"/>
          <w:sz w:val="24"/>
        </w:rPr>
        <w:t>What strategy for the Commission to implement commitments per Member States and per sector – what commitments for agriculture,</w:t>
      </w:r>
    </w:p>
    <w:p w14:paraId="25EECEBA" w14:textId="77777777" w:rsidR="005E5006" w:rsidRDefault="005E5006">
      <w:pPr>
        <w:spacing w:line="134" w:lineRule="exact"/>
        <w:rPr>
          <w:rFonts w:ascii="Times New Roman" w:eastAsia="Times New Roman" w:hAnsi="Times New Roman"/>
          <w:sz w:val="24"/>
        </w:rPr>
      </w:pPr>
    </w:p>
    <w:p w14:paraId="557D6B25" w14:textId="77777777" w:rsidR="005E5006" w:rsidRDefault="005E5006">
      <w:pPr>
        <w:numPr>
          <w:ilvl w:val="1"/>
          <w:numId w:val="5"/>
        </w:numPr>
        <w:tabs>
          <w:tab w:val="left" w:pos="1220"/>
        </w:tabs>
        <w:spacing w:line="234" w:lineRule="auto"/>
        <w:ind w:left="1220" w:right="500" w:hanging="352"/>
        <w:rPr>
          <w:rFonts w:ascii="Times New Roman" w:eastAsia="Times New Roman" w:hAnsi="Times New Roman"/>
          <w:sz w:val="24"/>
        </w:rPr>
      </w:pPr>
      <w:r>
        <w:rPr>
          <w:rFonts w:ascii="Times New Roman" w:eastAsia="Times New Roman" w:hAnsi="Times New Roman"/>
          <w:sz w:val="24"/>
        </w:rPr>
        <w:t>Agriculture's role in meeting the EU's Paris Agreement commitments: the need for sustainable agriculture mitigation' presented by John LINCHBERRY</w:t>
      </w:r>
    </w:p>
    <w:p w14:paraId="47843F69" w14:textId="77777777" w:rsidR="005E5006" w:rsidRDefault="005E5006">
      <w:pPr>
        <w:spacing w:line="200" w:lineRule="exact"/>
        <w:rPr>
          <w:rFonts w:ascii="Times New Roman" w:eastAsia="Times New Roman" w:hAnsi="Times New Roman"/>
        </w:rPr>
      </w:pPr>
    </w:p>
    <w:tbl>
      <w:tblPr>
        <w:tblStyle w:val="TableGrid"/>
        <w:tblW w:w="0" w:type="auto"/>
        <w:tblLook w:val="04A0" w:firstRow="1" w:lastRow="0" w:firstColumn="1" w:lastColumn="0" w:noHBand="0" w:noVBand="1"/>
      </w:tblPr>
      <w:tblGrid>
        <w:gridCol w:w="9210"/>
      </w:tblGrid>
      <w:tr w:rsidR="009E166F" w14:paraId="128DDC41" w14:textId="77777777" w:rsidTr="009E166F">
        <w:tc>
          <w:tcPr>
            <w:tcW w:w="9210" w:type="dxa"/>
          </w:tcPr>
          <w:p w14:paraId="53D262DF" w14:textId="4927E059" w:rsidR="009E166F" w:rsidRDefault="009E166F" w:rsidP="009E166F">
            <w:pPr>
              <w:tabs>
                <w:tab w:val="left" w:pos="500"/>
              </w:tabs>
              <w:spacing w:line="234" w:lineRule="auto"/>
              <w:ind w:right="600"/>
              <w:jc w:val="both"/>
              <w:rPr>
                <w:rFonts w:ascii="Times New Roman" w:eastAsia="Times New Roman" w:hAnsi="Times New Roman"/>
                <w:color w:val="0070C0"/>
                <w:sz w:val="24"/>
              </w:rPr>
            </w:pPr>
            <w:r>
              <w:rPr>
                <w:rFonts w:ascii="Times New Roman" w:eastAsia="Times New Roman" w:hAnsi="Times New Roman"/>
                <w:color w:val="0070C0"/>
                <w:sz w:val="24"/>
              </w:rPr>
              <w:t>Background docs:</w:t>
            </w:r>
          </w:p>
          <w:p w14:paraId="19D6A049" w14:textId="14D51FD4" w:rsidR="009E166F" w:rsidRDefault="009E166F" w:rsidP="009E166F">
            <w:pPr>
              <w:pStyle w:val="ListParagraph"/>
              <w:numPr>
                <w:ilvl w:val="0"/>
                <w:numId w:val="19"/>
              </w:numPr>
              <w:tabs>
                <w:tab w:val="left" w:pos="500"/>
              </w:tabs>
              <w:spacing w:line="234" w:lineRule="auto"/>
              <w:ind w:right="600"/>
              <w:jc w:val="both"/>
              <w:rPr>
                <w:rFonts w:ascii="Times New Roman" w:eastAsia="Times New Roman" w:hAnsi="Times New Roman"/>
                <w:color w:val="0070C0"/>
                <w:sz w:val="24"/>
              </w:rPr>
            </w:pPr>
            <w:r w:rsidRPr="009E166F">
              <w:rPr>
                <w:rFonts w:ascii="Times New Roman" w:eastAsia="Times New Roman" w:hAnsi="Times New Roman"/>
                <w:color w:val="0070C0"/>
                <w:sz w:val="24"/>
              </w:rPr>
              <w:t>COMP/AGPO/089/15 FINAL FoodDrinkEurope's key messages on emissions from agriculture and LULUCF</w:t>
            </w:r>
          </w:p>
          <w:p w14:paraId="48CC9FD5" w14:textId="77777777" w:rsidR="009E166F" w:rsidRPr="009E166F" w:rsidRDefault="009E166F" w:rsidP="009E166F">
            <w:pPr>
              <w:pStyle w:val="ListParagraph"/>
              <w:numPr>
                <w:ilvl w:val="0"/>
                <w:numId w:val="19"/>
              </w:numPr>
              <w:tabs>
                <w:tab w:val="left" w:pos="500"/>
              </w:tabs>
              <w:spacing w:line="234" w:lineRule="auto"/>
              <w:ind w:right="600"/>
              <w:jc w:val="both"/>
              <w:rPr>
                <w:rFonts w:ascii="Times New Roman" w:eastAsia="Times New Roman" w:hAnsi="Times New Roman"/>
                <w:color w:val="0070C0"/>
                <w:sz w:val="24"/>
              </w:rPr>
            </w:pPr>
            <w:r w:rsidRPr="009E166F">
              <w:rPr>
                <w:rFonts w:ascii="Times New Roman" w:eastAsia="Times New Roman" w:hAnsi="Times New Roman"/>
                <w:color w:val="0070C0"/>
                <w:sz w:val="24"/>
              </w:rPr>
              <w:t>COMP/AGPO/097/16 FOR INFO Commission proposals for a revision of the non-ETS sectors: Effort Sharing Regulation and LULUCF</w:t>
            </w:r>
          </w:p>
          <w:p w14:paraId="4F32D68A" w14:textId="6D1C8538" w:rsidR="009E166F" w:rsidRPr="009E166F" w:rsidRDefault="009E166F" w:rsidP="009E166F">
            <w:pPr>
              <w:pStyle w:val="ListParagraph"/>
              <w:numPr>
                <w:ilvl w:val="0"/>
                <w:numId w:val="19"/>
              </w:numPr>
              <w:tabs>
                <w:tab w:val="left" w:pos="500"/>
              </w:tabs>
              <w:spacing w:line="234" w:lineRule="auto"/>
              <w:ind w:right="600"/>
              <w:jc w:val="both"/>
              <w:rPr>
                <w:rFonts w:ascii="Times New Roman" w:eastAsia="Times New Roman" w:hAnsi="Times New Roman"/>
                <w:color w:val="0070C0"/>
                <w:sz w:val="24"/>
              </w:rPr>
            </w:pPr>
            <w:r w:rsidRPr="009E166F">
              <w:rPr>
                <w:rFonts w:ascii="Times New Roman" w:eastAsia="Times New Roman" w:hAnsi="Times New Roman"/>
                <w:color w:val="0070C0"/>
                <w:sz w:val="24"/>
              </w:rPr>
              <w:t>COMP/AGPO/072/15 INFO NOTE - Agriculture and LULUCF in the 2030 climate and energy framework</w:t>
            </w:r>
          </w:p>
          <w:p w14:paraId="28A30F47" w14:textId="77777777" w:rsidR="009E166F" w:rsidRDefault="009E166F" w:rsidP="009E166F">
            <w:pPr>
              <w:tabs>
                <w:tab w:val="left" w:pos="500"/>
              </w:tabs>
              <w:spacing w:line="234" w:lineRule="auto"/>
              <w:ind w:right="600"/>
              <w:jc w:val="both"/>
              <w:rPr>
                <w:rFonts w:ascii="Times New Roman" w:eastAsia="Times New Roman" w:hAnsi="Times New Roman"/>
              </w:rPr>
            </w:pPr>
          </w:p>
        </w:tc>
      </w:tr>
    </w:tbl>
    <w:p w14:paraId="3781783C" w14:textId="77777777" w:rsidR="005E5006" w:rsidRDefault="005E5006">
      <w:pPr>
        <w:spacing w:line="380" w:lineRule="exact"/>
        <w:rPr>
          <w:rFonts w:ascii="Times New Roman" w:eastAsia="Times New Roman" w:hAnsi="Times New Roman"/>
        </w:rPr>
      </w:pPr>
    </w:p>
    <w:p w14:paraId="7CEE6E82" w14:textId="77777777" w:rsidR="005E5006" w:rsidRDefault="005E5006">
      <w:pPr>
        <w:spacing w:line="0" w:lineRule="atLeast"/>
        <w:ind w:left="4700"/>
        <w:rPr>
          <w:rFonts w:ascii="Arial" w:eastAsia="Arial" w:hAnsi="Arial"/>
          <w:sz w:val="16"/>
        </w:rPr>
      </w:pPr>
      <w:r>
        <w:rPr>
          <w:rFonts w:ascii="Arial" w:eastAsia="Arial" w:hAnsi="Arial"/>
          <w:sz w:val="16"/>
        </w:rPr>
        <w:t>2</w:t>
      </w:r>
    </w:p>
    <w:p w14:paraId="621273D3" w14:textId="77777777" w:rsidR="005E5006" w:rsidRDefault="005E5006">
      <w:pPr>
        <w:spacing w:line="0" w:lineRule="atLeast"/>
        <w:ind w:left="4700"/>
        <w:rPr>
          <w:rFonts w:ascii="Arial" w:eastAsia="Arial" w:hAnsi="Arial"/>
          <w:sz w:val="16"/>
        </w:rPr>
        <w:sectPr w:rsidR="005E5006">
          <w:pgSz w:w="11900" w:h="16838"/>
          <w:pgMar w:top="1114" w:right="1240" w:bottom="804" w:left="1440" w:header="0" w:footer="0" w:gutter="0"/>
          <w:cols w:space="0" w:equalWidth="0">
            <w:col w:w="9220"/>
          </w:cols>
          <w:docGrid w:linePitch="360"/>
        </w:sectPr>
      </w:pPr>
    </w:p>
    <w:p w14:paraId="78F25691" w14:textId="77777777" w:rsidR="005E5006" w:rsidRDefault="005E5006">
      <w:pPr>
        <w:spacing w:line="0" w:lineRule="atLeast"/>
        <w:rPr>
          <w:rFonts w:ascii="Times New Roman" w:eastAsia="Times New Roman" w:hAnsi="Times New Roman"/>
          <w:b/>
          <w:sz w:val="24"/>
        </w:rPr>
      </w:pPr>
      <w:bookmarkStart w:id="1" w:name="page3"/>
      <w:bookmarkEnd w:id="1"/>
      <w:r>
        <w:rPr>
          <w:rFonts w:ascii="Times New Roman" w:eastAsia="Times New Roman" w:hAnsi="Times New Roman"/>
          <w:b/>
          <w:sz w:val="24"/>
        </w:rPr>
        <w:t>L</w:t>
      </w:r>
      <w:r>
        <w:rPr>
          <w:rFonts w:ascii="Times New Roman" w:eastAsia="Times New Roman" w:hAnsi="Times New Roman"/>
          <w:b/>
          <w:sz w:val="18"/>
        </w:rPr>
        <w:t>UNCH BREAK WITH INFORMAL DISCUSSIONS</w:t>
      </w:r>
      <w:r>
        <w:rPr>
          <w:rFonts w:ascii="Times New Roman" w:eastAsia="Times New Roman" w:hAnsi="Times New Roman"/>
          <w:b/>
          <w:sz w:val="24"/>
        </w:rPr>
        <w:t xml:space="preserve"> (</w:t>
      </w:r>
      <w:r>
        <w:rPr>
          <w:rFonts w:ascii="Times New Roman" w:eastAsia="Times New Roman" w:hAnsi="Times New Roman"/>
          <w:b/>
          <w:sz w:val="18"/>
        </w:rPr>
        <w:t>OPTIONAL</w:t>
      </w:r>
      <w:r>
        <w:rPr>
          <w:rFonts w:ascii="Times New Roman" w:eastAsia="Times New Roman" w:hAnsi="Times New Roman"/>
          <w:b/>
          <w:sz w:val="24"/>
        </w:rPr>
        <w:t>):</w:t>
      </w:r>
    </w:p>
    <w:p w14:paraId="03EFEE9E" w14:textId="77777777" w:rsidR="005E5006" w:rsidRDefault="005E5006">
      <w:pPr>
        <w:spacing w:line="120" w:lineRule="exact"/>
        <w:rPr>
          <w:rFonts w:ascii="Times New Roman" w:eastAsia="Times New Roman" w:hAnsi="Times New Roman"/>
        </w:rPr>
      </w:pPr>
    </w:p>
    <w:p w14:paraId="26A1D348" w14:textId="77777777" w:rsidR="005E5006" w:rsidRDefault="005E5006">
      <w:pPr>
        <w:numPr>
          <w:ilvl w:val="0"/>
          <w:numId w:val="6"/>
        </w:numPr>
        <w:tabs>
          <w:tab w:val="left" w:pos="1060"/>
        </w:tabs>
        <w:spacing w:line="0" w:lineRule="atLeast"/>
        <w:ind w:left="1060" w:hanging="703"/>
        <w:jc w:val="both"/>
        <w:rPr>
          <w:rFonts w:ascii="Times New Roman" w:eastAsia="Times New Roman" w:hAnsi="Times New Roman"/>
          <w:b/>
          <w:sz w:val="24"/>
        </w:rPr>
      </w:pPr>
      <w:r>
        <w:rPr>
          <w:rFonts w:ascii="Times New Roman" w:eastAsia="Times New Roman" w:hAnsi="Times New Roman"/>
          <w:b/>
          <w:sz w:val="24"/>
        </w:rPr>
        <w:t>Investment protection</w:t>
      </w:r>
    </w:p>
    <w:p w14:paraId="29332742" w14:textId="77777777" w:rsidR="005E5006" w:rsidRDefault="005E5006">
      <w:pPr>
        <w:spacing w:line="120" w:lineRule="exact"/>
        <w:rPr>
          <w:rFonts w:ascii="Times New Roman" w:eastAsia="Times New Roman" w:hAnsi="Times New Roman"/>
          <w:b/>
          <w:sz w:val="24"/>
        </w:rPr>
      </w:pPr>
    </w:p>
    <w:p w14:paraId="2A75C800" w14:textId="77777777" w:rsidR="005E5006" w:rsidRDefault="005E5006">
      <w:pPr>
        <w:numPr>
          <w:ilvl w:val="0"/>
          <w:numId w:val="6"/>
        </w:numPr>
        <w:tabs>
          <w:tab w:val="left" w:pos="1060"/>
        </w:tabs>
        <w:spacing w:line="0" w:lineRule="atLeast"/>
        <w:ind w:left="1060" w:hanging="703"/>
        <w:jc w:val="both"/>
        <w:rPr>
          <w:rFonts w:ascii="Times New Roman" w:eastAsia="Times New Roman" w:hAnsi="Times New Roman"/>
          <w:b/>
          <w:sz w:val="24"/>
        </w:rPr>
      </w:pPr>
      <w:r>
        <w:rPr>
          <w:rFonts w:ascii="Times New Roman" w:eastAsia="Times New Roman" w:hAnsi="Times New Roman"/>
          <w:b/>
          <w:sz w:val="24"/>
        </w:rPr>
        <w:t>Trade defense instrument – the case of fertilizers</w:t>
      </w:r>
    </w:p>
    <w:p w14:paraId="0386643F" w14:textId="77777777" w:rsidR="005E5006" w:rsidRDefault="005E5006">
      <w:pPr>
        <w:spacing w:line="120" w:lineRule="exact"/>
        <w:rPr>
          <w:rFonts w:ascii="Times New Roman" w:eastAsia="Times New Roman" w:hAnsi="Times New Roman"/>
          <w:b/>
          <w:sz w:val="24"/>
        </w:rPr>
      </w:pPr>
    </w:p>
    <w:p w14:paraId="55C079DC" w14:textId="77777777" w:rsidR="005E5006" w:rsidRDefault="005E5006">
      <w:pPr>
        <w:numPr>
          <w:ilvl w:val="0"/>
          <w:numId w:val="6"/>
        </w:numPr>
        <w:tabs>
          <w:tab w:val="left" w:pos="1060"/>
        </w:tabs>
        <w:spacing w:line="0" w:lineRule="atLeast"/>
        <w:ind w:left="1060" w:hanging="703"/>
        <w:jc w:val="both"/>
        <w:rPr>
          <w:rFonts w:ascii="Times New Roman" w:eastAsia="Times New Roman" w:hAnsi="Times New Roman"/>
          <w:b/>
          <w:sz w:val="24"/>
        </w:rPr>
      </w:pPr>
      <w:r>
        <w:rPr>
          <w:rFonts w:ascii="Times New Roman" w:eastAsia="Times New Roman" w:hAnsi="Times New Roman"/>
          <w:b/>
          <w:sz w:val="24"/>
        </w:rPr>
        <w:t>Cooperation with Africa – events in 2016</w:t>
      </w:r>
    </w:p>
    <w:p w14:paraId="540FD6DF" w14:textId="77777777" w:rsidR="005E5006" w:rsidRDefault="005E5006">
      <w:pPr>
        <w:spacing w:line="200" w:lineRule="exact"/>
        <w:rPr>
          <w:rFonts w:ascii="Times New Roman" w:eastAsia="Times New Roman" w:hAnsi="Times New Roman"/>
        </w:rPr>
      </w:pPr>
    </w:p>
    <w:p w14:paraId="7EB2FCB4" w14:textId="77777777" w:rsidR="005E5006" w:rsidRDefault="005E5006">
      <w:pPr>
        <w:spacing w:line="316" w:lineRule="exact"/>
        <w:rPr>
          <w:rFonts w:ascii="Times New Roman" w:eastAsia="Times New Roman" w:hAnsi="Times New Roman"/>
        </w:rPr>
      </w:pPr>
    </w:p>
    <w:p w14:paraId="33958179" w14:textId="77777777" w:rsidR="005E5006" w:rsidRDefault="005E5006">
      <w:pPr>
        <w:spacing w:line="0" w:lineRule="atLeast"/>
        <w:rPr>
          <w:rFonts w:ascii="Times New Roman" w:eastAsia="Times New Roman" w:hAnsi="Times New Roman"/>
          <w:b/>
          <w:sz w:val="24"/>
        </w:rPr>
      </w:pPr>
      <w:r>
        <w:rPr>
          <w:rFonts w:ascii="Times New Roman" w:eastAsia="Times New Roman" w:hAnsi="Times New Roman"/>
          <w:b/>
          <w:sz w:val="24"/>
        </w:rPr>
        <w:t>AFTERNOON SESSION</w:t>
      </w:r>
    </w:p>
    <w:p w14:paraId="0994D102" w14:textId="77777777" w:rsidR="005E5006" w:rsidRDefault="005E5006">
      <w:pPr>
        <w:spacing w:line="118" w:lineRule="exact"/>
        <w:rPr>
          <w:rFonts w:ascii="Times New Roman" w:eastAsia="Times New Roman" w:hAnsi="Times New Roman"/>
        </w:rPr>
      </w:pPr>
    </w:p>
    <w:p w14:paraId="2D22E93C" w14:textId="77777777" w:rsidR="005E5006" w:rsidRDefault="005E5006">
      <w:pPr>
        <w:numPr>
          <w:ilvl w:val="0"/>
          <w:numId w:val="7"/>
        </w:numPr>
        <w:tabs>
          <w:tab w:val="left" w:pos="360"/>
        </w:tabs>
        <w:spacing w:line="0" w:lineRule="atLeast"/>
        <w:ind w:left="360" w:hanging="352"/>
        <w:jc w:val="both"/>
        <w:rPr>
          <w:rFonts w:ascii="Times New Roman" w:eastAsia="Times New Roman" w:hAnsi="Times New Roman"/>
          <w:sz w:val="24"/>
        </w:rPr>
      </w:pPr>
      <w:r>
        <w:rPr>
          <w:rFonts w:ascii="Times New Roman" w:eastAsia="Times New Roman" w:hAnsi="Times New Roman"/>
          <w:sz w:val="24"/>
        </w:rPr>
        <w:t>Impact of trade agreements on EU agriculture and future orientations</w:t>
      </w:r>
    </w:p>
    <w:p w14:paraId="2F5A5C6B" w14:textId="77777777" w:rsidR="005E5006" w:rsidRDefault="005E5006">
      <w:pPr>
        <w:spacing w:line="132" w:lineRule="exact"/>
        <w:rPr>
          <w:rFonts w:ascii="Times New Roman" w:eastAsia="Times New Roman" w:hAnsi="Times New Roman"/>
          <w:sz w:val="24"/>
        </w:rPr>
      </w:pPr>
    </w:p>
    <w:p w14:paraId="3898427F" w14:textId="77777777" w:rsidR="005E5006" w:rsidRDefault="005E5006">
      <w:pPr>
        <w:numPr>
          <w:ilvl w:val="1"/>
          <w:numId w:val="7"/>
        </w:numPr>
        <w:tabs>
          <w:tab w:val="left" w:pos="1080"/>
        </w:tabs>
        <w:spacing w:line="234" w:lineRule="auto"/>
        <w:ind w:left="1080" w:hanging="352"/>
        <w:jc w:val="both"/>
        <w:rPr>
          <w:rFonts w:ascii="Times New Roman" w:eastAsia="Times New Roman" w:hAnsi="Times New Roman"/>
          <w:sz w:val="24"/>
        </w:rPr>
      </w:pPr>
      <w:r>
        <w:rPr>
          <w:rFonts w:ascii="Times New Roman" w:eastAsia="Times New Roman" w:hAnsi="Times New Roman"/>
          <w:sz w:val="24"/>
        </w:rPr>
        <w:t>Presentation by representative of EESC: report on trade policy presented by Volker PETERSEN</w:t>
      </w:r>
    </w:p>
    <w:tbl>
      <w:tblPr>
        <w:tblStyle w:val="TableGrid"/>
        <w:tblW w:w="0" w:type="auto"/>
        <w:tblLook w:val="04A0" w:firstRow="1" w:lastRow="0" w:firstColumn="1" w:lastColumn="0" w:noHBand="0" w:noVBand="1"/>
      </w:tblPr>
      <w:tblGrid>
        <w:gridCol w:w="8836"/>
      </w:tblGrid>
      <w:tr w:rsidR="00983519" w14:paraId="3B551D2D" w14:textId="77777777" w:rsidTr="00983519">
        <w:tc>
          <w:tcPr>
            <w:tcW w:w="8836" w:type="dxa"/>
          </w:tcPr>
          <w:p w14:paraId="0D023406" w14:textId="5763E4BE" w:rsidR="00983519" w:rsidRDefault="00983519" w:rsidP="00983519">
            <w:pPr>
              <w:numPr>
                <w:ilvl w:val="0"/>
                <w:numId w:val="14"/>
              </w:numPr>
              <w:tabs>
                <w:tab w:val="left" w:pos="709"/>
              </w:tabs>
              <w:spacing w:line="234" w:lineRule="auto"/>
              <w:rPr>
                <w:rFonts w:ascii="Times New Roman" w:eastAsia="Times New Roman" w:hAnsi="Times New Roman"/>
                <w:color w:val="0070C0"/>
                <w:sz w:val="24"/>
              </w:rPr>
            </w:pPr>
            <w:r>
              <w:rPr>
                <w:rFonts w:ascii="Times New Roman" w:eastAsia="Times New Roman" w:hAnsi="Times New Roman"/>
                <w:color w:val="0070C0"/>
                <w:sz w:val="24"/>
              </w:rPr>
              <w:t>Volker Petersen, EESC</w:t>
            </w:r>
            <w:r w:rsidR="008206A9">
              <w:rPr>
                <w:rFonts w:ascii="Times New Roman" w:eastAsia="Times New Roman" w:hAnsi="Times New Roman"/>
                <w:color w:val="0070C0"/>
                <w:sz w:val="24"/>
              </w:rPr>
              <w:t>:</w:t>
            </w:r>
            <w:r>
              <w:rPr>
                <w:rFonts w:ascii="Times New Roman" w:eastAsia="Times New Roman" w:hAnsi="Times New Roman"/>
                <w:color w:val="0070C0"/>
                <w:sz w:val="24"/>
              </w:rPr>
              <w:t xml:space="preserve"> </w:t>
            </w:r>
            <w:hyperlink r:id="rId12" w:history="1">
              <w:r w:rsidRPr="002A05EB">
                <w:rPr>
                  <w:rStyle w:val="Hyperlink"/>
                  <w:rFonts w:ascii="Times New Roman" w:eastAsia="Times New Roman" w:hAnsi="Times New Roman"/>
                  <w:sz w:val="24"/>
                </w:rPr>
                <w:t>http://memberspage.eesc.europa.eu/Search/Details/Person/2021229</w:t>
              </w:r>
            </w:hyperlink>
            <w:r>
              <w:rPr>
                <w:rFonts w:ascii="Times New Roman" w:eastAsia="Times New Roman" w:hAnsi="Times New Roman"/>
                <w:color w:val="0070C0"/>
                <w:sz w:val="24"/>
              </w:rPr>
              <w:t xml:space="preserve"> </w:t>
            </w:r>
          </w:p>
          <w:p w14:paraId="28927BDC" w14:textId="77777777" w:rsidR="00983519" w:rsidRDefault="00983519" w:rsidP="00983519">
            <w:pPr>
              <w:tabs>
                <w:tab w:val="left" w:pos="709"/>
              </w:tabs>
              <w:spacing w:line="234" w:lineRule="auto"/>
              <w:rPr>
                <w:rFonts w:ascii="Times New Roman" w:eastAsia="Times New Roman" w:hAnsi="Times New Roman"/>
                <w:color w:val="0070C0"/>
                <w:sz w:val="24"/>
              </w:rPr>
            </w:pPr>
          </w:p>
          <w:p w14:paraId="16A66ACF" w14:textId="77777777" w:rsidR="00983519" w:rsidRDefault="00983519" w:rsidP="00983519">
            <w:pPr>
              <w:tabs>
                <w:tab w:val="left" w:pos="709"/>
              </w:tabs>
              <w:spacing w:line="234" w:lineRule="auto"/>
              <w:rPr>
                <w:rFonts w:ascii="Times New Roman" w:eastAsia="Times New Roman" w:hAnsi="Times New Roman"/>
                <w:color w:val="0070C0"/>
                <w:sz w:val="24"/>
              </w:rPr>
            </w:pPr>
            <w:r>
              <w:rPr>
                <w:rFonts w:ascii="Times New Roman" w:eastAsia="Times New Roman" w:hAnsi="Times New Roman"/>
                <w:color w:val="0070C0"/>
                <w:sz w:val="24"/>
              </w:rPr>
              <w:t xml:space="preserve">Background docs: </w:t>
            </w:r>
          </w:p>
          <w:p w14:paraId="7916CD68" w14:textId="7C1C170B" w:rsidR="00983519" w:rsidRDefault="00983519" w:rsidP="006D5102">
            <w:pPr>
              <w:numPr>
                <w:ilvl w:val="0"/>
                <w:numId w:val="14"/>
              </w:numPr>
              <w:tabs>
                <w:tab w:val="left" w:pos="709"/>
              </w:tabs>
              <w:spacing w:line="234" w:lineRule="auto"/>
              <w:rPr>
                <w:rFonts w:ascii="Times New Roman" w:eastAsia="Times New Roman" w:hAnsi="Times New Roman"/>
                <w:color w:val="0070C0"/>
                <w:sz w:val="24"/>
              </w:rPr>
            </w:pPr>
            <w:r>
              <w:rPr>
                <w:rFonts w:ascii="Times New Roman" w:eastAsia="Times New Roman" w:hAnsi="Times New Roman"/>
                <w:color w:val="0070C0"/>
                <w:sz w:val="24"/>
              </w:rPr>
              <w:t>‘</w:t>
            </w:r>
            <w:r w:rsidRPr="00983519">
              <w:rPr>
                <w:rFonts w:ascii="Times New Roman" w:eastAsia="Times New Roman" w:hAnsi="Times New Roman"/>
                <w:color w:val="0070C0"/>
                <w:sz w:val="24"/>
              </w:rPr>
              <w:t>Proactive Trade Agenda</w:t>
            </w:r>
            <w:r>
              <w:rPr>
                <w:rFonts w:ascii="Times New Roman" w:eastAsia="Times New Roman" w:hAnsi="Times New Roman"/>
                <w:color w:val="0070C0"/>
                <w:sz w:val="24"/>
              </w:rPr>
              <w:t xml:space="preserve">’, </w:t>
            </w:r>
            <w:r w:rsidR="00DB5678">
              <w:rPr>
                <w:rFonts w:ascii="Times New Roman" w:eastAsia="Times New Roman" w:hAnsi="Times New Roman"/>
                <w:color w:val="0070C0"/>
                <w:sz w:val="24"/>
              </w:rPr>
              <w:t xml:space="preserve"> EESC Employers’ Group </w:t>
            </w:r>
            <w:hyperlink r:id="rId13" w:history="1">
              <w:r w:rsidRPr="002A05EB">
                <w:rPr>
                  <w:rStyle w:val="Hyperlink"/>
                  <w:rFonts w:ascii="Times New Roman" w:eastAsia="Times New Roman" w:hAnsi="Times New Roman"/>
                  <w:sz w:val="24"/>
                </w:rPr>
                <w:t>http://www.eesc.europa.eu/resources/docs/qe-02-17-158-en-n.pdf</w:t>
              </w:r>
            </w:hyperlink>
            <w:r>
              <w:rPr>
                <w:rFonts w:ascii="Times New Roman" w:eastAsia="Times New Roman" w:hAnsi="Times New Roman"/>
                <w:color w:val="0070C0"/>
                <w:sz w:val="24"/>
              </w:rPr>
              <w:t xml:space="preserve"> </w:t>
            </w:r>
          </w:p>
          <w:p w14:paraId="5CAD0338" w14:textId="729EF683" w:rsidR="006D5102" w:rsidRPr="006D5102" w:rsidRDefault="000774E1" w:rsidP="008206A9">
            <w:pPr>
              <w:numPr>
                <w:ilvl w:val="0"/>
                <w:numId w:val="14"/>
              </w:numPr>
              <w:tabs>
                <w:tab w:val="left" w:pos="709"/>
              </w:tabs>
              <w:spacing w:line="234" w:lineRule="auto"/>
              <w:rPr>
                <w:rFonts w:ascii="Times New Roman" w:eastAsia="Times New Roman" w:hAnsi="Times New Roman"/>
                <w:color w:val="0070C0"/>
                <w:sz w:val="24"/>
              </w:rPr>
            </w:pPr>
            <w:hyperlink r:id="rId14" w:history="1">
              <w:r w:rsidR="008206A9" w:rsidRPr="008206A9">
                <w:rPr>
                  <w:rStyle w:val="Hyperlink"/>
                  <w:rFonts w:ascii="Times New Roman" w:eastAsia="Times New Roman" w:hAnsi="Times New Roman"/>
                  <w:sz w:val="24"/>
                </w:rPr>
                <w:t>‘The importance of agricultural trade for the future development of agriculture and farming in the EU in the context of global food security’</w:t>
              </w:r>
            </w:hyperlink>
            <w:r w:rsidR="008206A9">
              <w:rPr>
                <w:rFonts w:ascii="Times New Roman" w:eastAsia="Times New Roman" w:hAnsi="Times New Roman"/>
                <w:color w:val="0070C0"/>
                <w:sz w:val="24"/>
              </w:rPr>
              <w:t>, EESC, Sept. 2015</w:t>
            </w:r>
          </w:p>
          <w:p w14:paraId="64877309" w14:textId="1494649B" w:rsidR="00983519" w:rsidRPr="00983519" w:rsidRDefault="00983519" w:rsidP="00983519">
            <w:pPr>
              <w:tabs>
                <w:tab w:val="left" w:pos="709"/>
              </w:tabs>
              <w:spacing w:line="234" w:lineRule="auto"/>
              <w:rPr>
                <w:rFonts w:ascii="Times New Roman" w:eastAsia="Times New Roman" w:hAnsi="Times New Roman"/>
                <w:color w:val="0070C0"/>
                <w:sz w:val="24"/>
              </w:rPr>
            </w:pPr>
          </w:p>
        </w:tc>
      </w:tr>
    </w:tbl>
    <w:p w14:paraId="32FF840A" w14:textId="77777777" w:rsidR="00983519" w:rsidRDefault="00983519" w:rsidP="00983519">
      <w:pPr>
        <w:tabs>
          <w:tab w:val="left" w:pos="1080"/>
        </w:tabs>
        <w:spacing w:line="234" w:lineRule="auto"/>
        <w:jc w:val="both"/>
        <w:rPr>
          <w:rFonts w:ascii="Times New Roman" w:eastAsia="Times New Roman" w:hAnsi="Times New Roman"/>
          <w:sz w:val="24"/>
        </w:rPr>
      </w:pPr>
    </w:p>
    <w:p w14:paraId="443BE2DF" w14:textId="77777777" w:rsidR="005E5006" w:rsidRDefault="005E5006">
      <w:pPr>
        <w:spacing w:line="133" w:lineRule="exact"/>
        <w:rPr>
          <w:rFonts w:ascii="Times New Roman" w:eastAsia="Times New Roman" w:hAnsi="Times New Roman"/>
          <w:sz w:val="24"/>
        </w:rPr>
      </w:pPr>
    </w:p>
    <w:p w14:paraId="487B4B98" w14:textId="77777777" w:rsidR="005E5006" w:rsidRDefault="005E5006">
      <w:pPr>
        <w:numPr>
          <w:ilvl w:val="1"/>
          <w:numId w:val="7"/>
        </w:numPr>
        <w:tabs>
          <w:tab w:val="left" w:pos="1080"/>
        </w:tabs>
        <w:spacing w:line="236" w:lineRule="auto"/>
        <w:ind w:left="1080" w:hanging="352"/>
        <w:jc w:val="both"/>
        <w:rPr>
          <w:rFonts w:ascii="Times New Roman" w:eastAsia="Times New Roman" w:hAnsi="Times New Roman"/>
          <w:sz w:val="24"/>
        </w:rPr>
      </w:pPr>
      <w:r>
        <w:rPr>
          <w:rFonts w:ascii="Times New Roman" w:eastAsia="Times New Roman" w:hAnsi="Times New Roman"/>
          <w:sz w:val="24"/>
        </w:rPr>
        <w:t>Presentation by Copenhagen Economics study "Impact of EU trade agreements on the agricultural sector" (South Korea, Switzerland, Mexico) presented by Eva RYTTER SUNESEN</w:t>
      </w:r>
    </w:p>
    <w:p w14:paraId="1D6C8120" w14:textId="77777777" w:rsidR="008B10D0" w:rsidRDefault="008B10D0" w:rsidP="008B10D0">
      <w:pPr>
        <w:tabs>
          <w:tab w:val="left" w:pos="1080"/>
        </w:tabs>
        <w:spacing w:line="236" w:lineRule="auto"/>
        <w:jc w:val="both"/>
        <w:rPr>
          <w:rFonts w:ascii="Times New Roman" w:eastAsia="Times New Roman" w:hAnsi="Times New Roman"/>
          <w:sz w:val="24"/>
        </w:rPr>
      </w:pPr>
    </w:p>
    <w:tbl>
      <w:tblPr>
        <w:tblStyle w:val="TableGrid"/>
        <w:tblW w:w="0" w:type="auto"/>
        <w:tblLook w:val="04A0" w:firstRow="1" w:lastRow="0" w:firstColumn="1" w:lastColumn="0" w:noHBand="0" w:noVBand="1"/>
      </w:tblPr>
      <w:tblGrid>
        <w:gridCol w:w="8836"/>
      </w:tblGrid>
      <w:tr w:rsidR="008B10D0" w14:paraId="7DBD4CE0" w14:textId="77777777" w:rsidTr="008B10D0">
        <w:tc>
          <w:tcPr>
            <w:tcW w:w="8836" w:type="dxa"/>
          </w:tcPr>
          <w:p w14:paraId="0866EDAC" w14:textId="05B65F46" w:rsidR="007A275B" w:rsidRDefault="007A275B" w:rsidP="00011DA3">
            <w:pPr>
              <w:tabs>
                <w:tab w:val="left" w:pos="709"/>
              </w:tabs>
              <w:spacing w:line="236" w:lineRule="auto"/>
              <w:jc w:val="both"/>
              <w:rPr>
                <w:rFonts w:ascii="Times New Roman" w:eastAsia="Times New Roman" w:hAnsi="Times New Roman"/>
                <w:color w:val="0070C0"/>
                <w:sz w:val="24"/>
                <w:u w:val="single"/>
              </w:rPr>
            </w:pPr>
            <w:r w:rsidRPr="007A275B">
              <w:rPr>
                <w:rFonts w:ascii="Times New Roman" w:eastAsia="Times New Roman" w:hAnsi="Times New Roman"/>
                <w:color w:val="0070C0"/>
                <w:sz w:val="24"/>
                <w:u w:val="single"/>
              </w:rPr>
              <w:t>General</w:t>
            </w:r>
          </w:p>
          <w:p w14:paraId="41E4330A" w14:textId="38B3F149" w:rsidR="007A275B" w:rsidRPr="00FE5963" w:rsidRDefault="007A275B" w:rsidP="007A275B">
            <w:pPr>
              <w:numPr>
                <w:ilvl w:val="0"/>
                <w:numId w:val="18"/>
              </w:numPr>
              <w:tabs>
                <w:tab w:val="left" w:pos="709"/>
              </w:tabs>
              <w:spacing w:line="236" w:lineRule="auto"/>
              <w:jc w:val="both"/>
              <w:rPr>
                <w:rFonts w:ascii="Times New Roman" w:eastAsia="Times New Roman" w:hAnsi="Times New Roman"/>
                <w:color w:val="0070C0"/>
                <w:sz w:val="24"/>
                <w:u w:val="single"/>
              </w:rPr>
            </w:pPr>
            <w:r>
              <w:rPr>
                <w:rFonts w:ascii="Times New Roman" w:eastAsia="Times New Roman" w:hAnsi="Times New Roman"/>
                <w:color w:val="0070C0"/>
                <w:sz w:val="24"/>
              </w:rPr>
              <w:t>Learn about the key outcomes</w:t>
            </w:r>
            <w:r w:rsidR="00FE5963">
              <w:rPr>
                <w:rFonts w:ascii="Times New Roman" w:eastAsia="Times New Roman" w:hAnsi="Times New Roman"/>
                <w:color w:val="0070C0"/>
                <w:sz w:val="24"/>
              </w:rPr>
              <w:t>, lessons learnt and</w:t>
            </w:r>
            <w:r>
              <w:rPr>
                <w:rFonts w:ascii="Times New Roman" w:eastAsia="Times New Roman" w:hAnsi="Times New Roman"/>
                <w:color w:val="0070C0"/>
                <w:sz w:val="24"/>
              </w:rPr>
              <w:t xml:space="preserve"> </w:t>
            </w:r>
            <w:r w:rsidR="00FE5963">
              <w:rPr>
                <w:rFonts w:ascii="Times New Roman" w:eastAsia="Times New Roman" w:hAnsi="Times New Roman"/>
                <w:color w:val="0070C0"/>
                <w:sz w:val="24"/>
              </w:rPr>
              <w:t xml:space="preserve">potential </w:t>
            </w:r>
            <w:r>
              <w:rPr>
                <w:rFonts w:ascii="Times New Roman" w:eastAsia="Times New Roman" w:hAnsi="Times New Roman"/>
                <w:color w:val="0070C0"/>
                <w:sz w:val="24"/>
              </w:rPr>
              <w:t xml:space="preserve">recommendations which emerge from the study </w:t>
            </w:r>
            <w:r w:rsidR="00FE5963">
              <w:rPr>
                <w:rFonts w:ascii="Times New Roman" w:eastAsia="Times New Roman" w:hAnsi="Times New Roman"/>
                <w:color w:val="0070C0"/>
                <w:sz w:val="24"/>
              </w:rPr>
              <w:t>–</w:t>
            </w:r>
            <w:r>
              <w:rPr>
                <w:rFonts w:ascii="Times New Roman" w:eastAsia="Times New Roman" w:hAnsi="Times New Roman"/>
                <w:color w:val="0070C0"/>
                <w:sz w:val="24"/>
              </w:rPr>
              <w:t xml:space="preserve"> </w:t>
            </w:r>
            <w:r w:rsidR="00FE5963">
              <w:rPr>
                <w:rFonts w:ascii="Times New Roman" w:eastAsia="Times New Roman" w:hAnsi="Times New Roman"/>
                <w:color w:val="0070C0"/>
                <w:sz w:val="24"/>
              </w:rPr>
              <w:t>i.e. for the future EU approach to agri-food trade related negotiations. (e.g.</w:t>
            </w:r>
            <w:r w:rsidR="0032096D">
              <w:rPr>
                <w:rFonts w:ascii="Times New Roman" w:eastAsia="Times New Roman" w:hAnsi="Times New Roman"/>
                <w:color w:val="0070C0"/>
                <w:sz w:val="24"/>
              </w:rPr>
              <w:t xml:space="preserve"> </w:t>
            </w:r>
            <w:r w:rsidR="00FE5963">
              <w:rPr>
                <w:rFonts w:ascii="Times New Roman" w:eastAsia="Times New Roman" w:hAnsi="Times New Roman"/>
                <w:color w:val="0070C0"/>
                <w:sz w:val="24"/>
              </w:rPr>
              <w:t>increasing the scope and depth of existing agreements to improve market access – further addressing tariffs, quotas and non-tariff measures and technical barriers).</w:t>
            </w:r>
          </w:p>
          <w:p w14:paraId="29E2BE4E" w14:textId="77777777" w:rsidR="00FE5963" w:rsidRPr="00FE5963" w:rsidRDefault="00FE5963" w:rsidP="00FE5963">
            <w:pPr>
              <w:tabs>
                <w:tab w:val="left" w:pos="709"/>
              </w:tabs>
              <w:spacing w:line="236" w:lineRule="auto"/>
              <w:ind w:left="720"/>
              <w:jc w:val="both"/>
              <w:rPr>
                <w:rFonts w:ascii="Times New Roman" w:eastAsia="Times New Roman" w:hAnsi="Times New Roman"/>
                <w:color w:val="0070C0"/>
                <w:sz w:val="24"/>
                <w:u w:val="single"/>
              </w:rPr>
            </w:pPr>
          </w:p>
          <w:p w14:paraId="13590306" w14:textId="783C4E79" w:rsidR="00FE5963" w:rsidRDefault="00FE5963" w:rsidP="007A275B">
            <w:pPr>
              <w:numPr>
                <w:ilvl w:val="0"/>
                <w:numId w:val="18"/>
              </w:numPr>
              <w:tabs>
                <w:tab w:val="left" w:pos="709"/>
              </w:tabs>
              <w:spacing w:line="236" w:lineRule="auto"/>
              <w:jc w:val="both"/>
              <w:rPr>
                <w:rFonts w:ascii="Times New Roman" w:eastAsia="Times New Roman" w:hAnsi="Times New Roman"/>
                <w:color w:val="0070C0"/>
                <w:sz w:val="24"/>
                <w:u w:val="single"/>
              </w:rPr>
            </w:pPr>
            <w:r>
              <w:rPr>
                <w:rFonts w:ascii="Times New Roman" w:eastAsia="Times New Roman" w:hAnsi="Times New Roman"/>
                <w:color w:val="0070C0"/>
                <w:sz w:val="24"/>
                <w:u w:val="single"/>
              </w:rPr>
              <w:t xml:space="preserve">The executive summary of the study mentions: </w:t>
            </w:r>
          </w:p>
          <w:p w14:paraId="3C9B711E" w14:textId="18E525AB" w:rsidR="00FE5963" w:rsidRDefault="00FE5963" w:rsidP="00FE5963">
            <w:pPr>
              <w:tabs>
                <w:tab w:val="left" w:pos="709"/>
              </w:tabs>
              <w:spacing w:line="236" w:lineRule="auto"/>
              <w:ind w:left="720"/>
              <w:jc w:val="both"/>
              <w:rPr>
                <w:rFonts w:ascii="Times New Roman" w:eastAsia="Times New Roman" w:hAnsi="Times New Roman"/>
                <w:color w:val="0070C0"/>
                <w:sz w:val="24"/>
              </w:rPr>
            </w:pPr>
            <w:r w:rsidRPr="00FE5963">
              <w:rPr>
                <w:rFonts w:ascii="Times New Roman" w:eastAsia="Times New Roman" w:hAnsi="Times New Roman"/>
                <w:color w:val="0070C0"/>
                <w:sz w:val="24"/>
              </w:rPr>
              <w:t>“EU exporters (mainly SMEs) are not always fully aware of the trade potentials in new EU trade agreements and the threat of losing market share when their trading partners sign trade agreements with third countries. Companies and organisations thus need to be better informed about new trade agreements, and there could be a scope for carrying out common information campaigns when new EU trade agreements enter into force. Likewise, information about new trade initiatives in main EU partner countries will allow EU exporters to anticipate changing business conditions and implement the right commercial strategies.”</w:t>
            </w:r>
          </w:p>
          <w:p w14:paraId="20121F30" w14:textId="77777777" w:rsidR="00FE5963" w:rsidRDefault="00FE5963" w:rsidP="00FE5963">
            <w:pPr>
              <w:tabs>
                <w:tab w:val="left" w:pos="709"/>
              </w:tabs>
              <w:spacing w:line="236" w:lineRule="auto"/>
              <w:ind w:left="720"/>
              <w:jc w:val="both"/>
              <w:rPr>
                <w:rFonts w:ascii="Times New Roman" w:eastAsia="Times New Roman" w:hAnsi="Times New Roman"/>
                <w:color w:val="0070C0"/>
                <w:sz w:val="24"/>
              </w:rPr>
            </w:pPr>
          </w:p>
          <w:p w14:paraId="724349A1" w14:textId="2560D395" w:rsidR="00FE5963" w:rsidRDefault="00FE5963" w:rsidP="00FE5963">
            <w:pPr>
              <w:numPr>
                <w:ilvl w:val="1"/>
                <w:numId w:val="18"/>
              </w:numPr>
              <w:tabs>
                <w:tab w:val="left" w:pos="709"/>
              </w:tabs>
              <w:spacing w:line="236" w:lineRule="auto"/>
              <w:jc w:val="both"/>
              <w:rPr>
                <w:rFonts w:ascii="Times New Roman" w:eastAsia="Times New Roman" w:hAnsi="Times New Roman"/>
                <w:color w:val="0070C0"/>
                <w:sz w:val="24"/>
              </w:rPr>
            </w:pPr>
            <w:r>
              <w:rPr>
                <w:rFonts w:ascii="Times New Roman" w:eastAsia="Times New Roman" w:hAnsi="Times New Roman"/>
                <w:color w:val="0070C0"/>
                <w:sz w:val="24"/>
              </w:rPr>
              <w:t>What is the COM’s view on this</w:t>
            </w:r>
            <w:r w:rsidR="0032096D">
              <w:rPr>
                <w:rFonts w:ascii="Times New Roman" w:eastAsia="Times New Roman" w:hAnsi="Times New Roman"/>
                <w:color w:val="0070C0"/>
                <w:sz w:val="24"/>
              </w:rPr>
              <w:t>, the role of MS</w:t>
            </w:r>
            <w:r>
              <w:rPr>
                <w:rFonts w:ascii="Times New Roman" w:eastAsia="Times New Roman" w:hAnsi="Times New Roman"/>
                <w:color w:val="0070C0"/>
                <w:sz w:val="24"/>
              </w:rPr>
              <w:t xml:space="preserve"> – and how could associations / stakeholders support this process?</w:t>
            </w:r>
          </w:p>
          <w:p w14:paraId="746C3532" w14:textId="77777777" w:rsidR="001A30A6" w:rsidRDefault="001A30A6" w:rsidP="001A30A6">
            <w:pPr>
              <w:tabs>
                <w:tab w:val="left" w:pos="709"/>
              </w:tabs>
              <w:spacing w:line="236" w:lineRule="auto"/>
              <w:ind w:left="1440"/>
              <w:jc w:val="both"/>
              <w:rPr>
                <w:rFonts w:ascii="Times New Roman" w:eastAsia="Times New Roman" w:hAnsi="Times New Roman"/>
                <w:color w:val="0070C0"/>
                <w:sz w:val="24"/>
              </w:rPr>
            </w:pPr>
          </w:p>
          <w:p w14:paraId="17310C4C" w14:textId="38CCDD41" w:rsidR="002B6984" w:rsidRDefault="00FE5963" w:rsidP="00FE5963">
            <w:pPr>
              <w:numPr>
                <w:ilvl w:val="1"/>
                <w:numId w:val="18"/>
              </w:numPr>
              <w:tabs>
                <w:tab w:val="left" w:pos="709"/>
              </w:tabs>
              <w:spacing w:line="236" w:lineRule="auto"/>
              <w:jc w:val="both"/>
              <w:rPr>
                <w:rFonts w:ascii="Times New Roman" w:eastAsia="Times New Roman" w:hAnsi="Times New Roman"/>
                <w:color w:val="0070C0"/>
                <w:sz w:val="24"/>
              </w:rPr>
            </w:pPr>
            <w:r>
              <w:rPr>
                <w:rFonts w:ascii="Times New Roman" w:eastAsia="Times New Roman" w:hAnsi="Times New Roman"/>
                <w:color w:val="0070C0"/>
                <w:sz w:val="24"/>
              </w:rPr>
              <w:t xml:space="preserve">For instance, take the recently concluded EU-Canada CETA agreement – we as association receive requests if, when and on which type of products tariffs may change in future – but operators are not </w:t>
            </w:r>
            <w:r w:rsidR="002B6984">
              <w:rPr>
                <w:rFonts w:ascii="Times New Roman" w:eastAsia="Times New Roman" w:hAnsi="Times New Roman"/>
                <w:color w:val="0070C0"/>
                <w:sz w:val="24"/>
              </w:rPr>
              <w:t>necessarily familiar with the</w:t>
            </w:r>
            <w:r>
              <w:rPr>
                <w:rFonts w:ascii="Times New Roman" w:eastAsia="Times New Roman" w:hAnsi="Times New Roman"/>
                <w:color w:val="0070C0"/>
                <w:sz w:val="24"/>
              </w:rPr>
              <w:t xml:space="preserve"> actual text of t</w:t>
            </w:r>
            <w:r w:rsidR="0032096D">
              <w:rPr>
                <w:rFonts w:ascii="Times New Roman" w:eastAsia="Times New Roman" w:hAnsi="Times New Roman"/>
                <w:color w:val="0070C0"/>
                <w:sz w:val="24"/>
              </w:rPr>
              <w:t>he agreement</w:t>
            </w:r>
            <w:r w:rsidR="002B6984">
              <w:rPr>
                <w:rFonts w:ascii="Times New Roman" w:eastAsia="Times New Roman" w:hAnsi="Times New Roman"/>
                <w:color w:val="0070C0"/>
                <w:sz w:val="24"/>
              </w:rPr>
              <w:t xml:space="preserve"> (which is 1,600  pages long)  and reading the attached tariff schedules</w:t>
            </w:r>
            <w:r w:rsidR="0032096D">
              <w:rPr>
                <w:rFonts w:ascii="Times New Roman" w:eastAsia="Times New Roman" w:hAnsi="Times New Roman"/>
                <w:color w:val="0070C0"/>
                <w:sz w:val="24"/>
              </w:rPr>
              <w:t xml:space="preserve"> </w:t>
            </w:r>
            <w:r w:rsidR="00107176">
              <w:rPr>
                <w:rFonts w:ascii="Times New Roman" w:eastAsia="Times New Roman" w:hAnsi="Times New Roman"/>
                <w:color w:val="0070C0"/>
                <w:sz w:val="24"/>
              </w:rPr>
              <w:t xml:space="preserve">- </w:t>
            </w:r>
            <w:r w:rsidR="001A30A6">
              <w:rPr>
                <w:rFonts w:ascii="Times New Roman" w:eastAsia="Times New Roman" w:hAnsi="Times New Roman"/>
                <w:color w:val="0070C0"/>
                <w:sz w:val="24"/>
              </w:rPr>
              <w:t xml:space="preserve">nor does the Market Access Database inform about </w:t>
            </w:r>
            <w:r w:rsidR="002B6984">
              <w:rPr>
                <w:rFonts w:ascii="Times New Roman" w:eastAsia="Times New Roman" w:hAnsi="Times New Roman"/>
                <w:color w:val="0070C0"/>
                <w:sz w:val="24"/>
              </w:rPr>
              <w:t xml:space="preserve">an </w:t>
            </w:r>
            <w:r w:rsidR="001A30A6">
              <w:rPr>
                <w:rFonts w:ascii="Times New Roman" w:eastAsia="Times New Roman" w:hAnsi="Times New Roman"/>
                <w:color w:val="0070C0"/>
                <w:sz w:val="24"/>
              </w:rPr>
              <w:t xml:space="preserve">upcoming change in tariffs (at least </w:t>
            </w:r>
            <w:r w:rsidR="00107176">
              <w:rPr>
                <w:rFonts w:ascii="Times New Roman" w:eastAsia="Times New Roman" w:hAnsi="Times New Roman"/>
                <w:color w:val="0070C0"/>
                <w:sz w:val="24"/>
              </w:rPr>
              <w:t xml:space="preserve">not </w:t>
            </w:r>
            <w:r w:rsidR="001A30A6">
              <w:rPr>
                <w:rFonts w:ascii="Times New Roman" w:eastAsia="Times New Roman" w:hAnsi="Times New Roman"/>
                <w:color w:val="0070C0"/>
                <w:sz w:val="24"/>
              </w:rPr>
              <w:t xml:space="preserve">to our knowledge). </w:t>
            </w:r>
          </w:p>
          <w:p w14:paraId="6496304D" w14:textId="77777777" w:rsidR="002B6984" w:rsidRDefault="002B6984" w:rsidP="002B6984">
            <w:pPr>
              <w:pStyle w:val="ListParagraph"/>
              <w:rPr>
                <w:rFonts w:ascii="Times New Roman" w:eastAsia="Times New Roman" w:hAnsi="Times New Roman"/>
                <w:color w:val="0070C0"/>
                <w:sz w:val="24"/>
              </w:rPr>
            </w:pPr>
          </w:p>
          <w:p w14:paraId="2650D750" w14:textId="77777777" w:rsidR="00107176" w:rsidRDefault="001A30A6" w:rsidP="002B6984">
            <w:pPr>
              <w:tabs>
                <w:tab w:val="left" w:pos="709"/>
              </w:tabs>
              <w:spacing w:line="236" w:lineRule="auto"/>
              <w:ind w:left="1440"/>
              <w:jc w:val="both"/>
              <w:rPr>
                <w:rFonts w:ascii="Times New Roman" w:eastAsia="Times New Roman" w:hAnsi="Times New Roman"/>
                <w:color w:val="0070C0"/>
                <w:sz w:val="24"/>
              </w:rPr>
            </w:pPr>
            <w:r>
              <w:rPr>
                <w:rFonts w:ascii="Times New Roman" w:eastAsia="Times New Roman" w:hAnsi="Times New Roman"/>
                <w:color w:val="0070C0"/>
                <w:sz w:val="24"/>
              </w:rPr>
              <w:t xml:space="preserve">For information: the Canadian </w:t>
            </w:r>
            <w:r w:rsidR="00107176">
              <w:rPr>
                <w:rFonts w:ascii="Times New Roman" w:eastAsia="Times New Roman" w:hAnsi="Times New Roman"/>
                <w:color w:val="0070C0"/>
                <w:sz w:val="24"/>
              </w:rPr>
              <w:t>Government</w:t>
            </w:r>
            <w:r>
              <w:rPr>
                <w:rFonts w:ascii="Times New Roman" w:eastAsia="Times New Roman" w:hAnsi="Times New Roman"/>
                <w:color w:val="0070C0"/>
                <w:sz w:val="24"/>
              </w:rPr>
              <w:t xml:space="preserve"> on its website on CETA has a section ‘</w:t>
            </w:r>
            <w:hyperlink r:id="rId15" w:history="1">
              <w:r w:rsidRPr="001A30A6">
                <w:rPr>
                  <w:rStyle w:val="Hyperlink"/>
                  <w:rFonts w:ascii="Times New Roman" w:eastAsia="Times New Roman" w:hAnsi="Times New Roman"/>
                  <w:sz w:val="24"/>
                </w:rPr>
                <w:t>Find you</w:t>
              </w:r>
              <w:r w:rsidR="00107176">
                <w:rPr>
                  <w:rStyle w:val="Hyperlink"/>
                  <w:rFonts w:ascii="Times New Roman" w:eastAsia="Times New Roman" w:hAnsi="Times New Roman"/>
                  <w:sz w:val="24"/>
                </w:rPr>
                <w:t>r</w:t>
              </w:r>
              <w:r w:rsidRPr="001A30A6">
                <w:rPr>
                  <w:rStyle w:val="Hyperlink"/>
                  <w:rFonts w:ascii="Times New Roman" w:eastAsia="Times New Roman" w:hAnsi="Times New Roman"/>
                  <w:sz w:val="24"/>
                </w:rPr>
                <w:t xml:space="preserve"> EU tariff rate’</w:t>
              </w:r>
            </w:hyperlink>
            <w:r>
              <w:rPr>
                <w:rFonts w:ascii="Times New Roman" w:eastAsia="Times New Roman" w:hAnsi="Times New Roman"/>
                <w:color w:val="0070C0"/>
                <w:sz w:val="24"/>
              </w:rPr>
              <w:t xml:space="preserve"> – which explain how to read the CETA tariff schedules. </w:t>
            </w:r>
          </w:p>
          <w:p w14:paraId="4E07F54A" w14:textId="77777777" w:rsidR="00107176" w:rsidRDefault="00107176" w:rsidP="002B6984">
            <w:pPr>
              <w:tabs>
                <w:tab w:val="left" w:pos="709"/>
              </w:tabs>
              <w:spacing w:line="236" w:lineRule="auto"/>
              <w:ind w:left="1440"/>
              <w:jc w:val="both"/>
              <w:rPr>
                <w:rFonts w:ascii="Times New Roman" w:eastAsia="Times New Roman" w:hAnsi="Times New Roman"/>
                <w:color w:val="0070C0"/>
                <w:sz w:val="24"/>
              </w:rPr>
            </w:pPr>
          </w:p>
          <w:p w14:paraId="15AF6B5C" w14:textId="7123C94C" w:rsidR="00FE5963" w:rsidRPr="00FE5963" w:rsidRDefault="00107176" w:rsidP="002B6984">
            <w:pPr>
              <w:tabs>
                <w:tab w:val="left" w:pos="709"/>
              </w:tabs>
              <w:spacing w:line="236" w:lineRule="auto"/>
              <w:ind w:left="1440"/>
              <w:jc w:val="both"/>
              <w:rPr>
                <w:rFonts w:ascii="Times New Roman" w:eastAsia="Times New Roman" w:hAnsi="Times New Roman"/>
                <w:color w:val="0070C0"/>
                <w:sz w:val="24"/>
              </w:rPr>
            </w:pPr>
            <w:r>
              <w:rPr>
                <w:rFonts w:ascii="Times New Roman" w:eastAsia="Times New Roman" w:hAnsi="Times New Roman"/>
                <w:color w:val="0070C0"/>
                <w:sz w:val="24"/>
              </w:rPr>
              <w:t>Such p</w:t>
            </w:r>
            <w:r w:rsidR="001A30A6">
              <w:rPr>
                <w:rFonts w:ascii="Times New Roman" w:eastAsia="Times New Roman" w:hAnsi="Times New Roman"/>
                <w:color w:val="0070C0"/>
                <w:sz w:val="24"/>
              </w:rPr>
              <w:t xml:space="preserve">ractical information </w:t>
            </w:r>
            <w:r>
              <w:rPr>
                <w:rFonts w:ascii="Times New Roman" w:eastAsia="Times New Roman" w:hAnsi="Times New Roman"/>
                <w:color w:val="0070C0"/>
                <w:sz w:val="24"/>
              </w:rPr>
              <w:t>could</w:t>
            </w:r>
            <w:r w:rsidR="001A30A6">
              <w:rPr>
                <w:rFonts w:ascii="Times New Roman" w:eastAsia="Times New Roman" w:hAnsi="Times New Roman"/>
                <w:color w:val="0070C0"/>
                <w:sz w:val="24"/>
              </w:rPr>
              <w:t xml:space="preserve"> also be </w:t>
            </w:r>
            <w:r>
              <w:rPr>
                <w:rFonts w:ascii="Times New Roman" w:eastAsia="Times New Roman" w:hAnsi="Times New Roman"/>
                <w:color w:val="0070C0"/>
                <w:sz w:val="24"/>
              </w:rPr>
              <w:t>b</w:t>
            </w:r>
            <w:r w:rsidR="001A30A6">
              <w:rPr>
                <w:rFonts w:ascii="Times New Roman" w:eastAsia="Times New Roman" w:hAnsi="Times New Roman"/>
                <w:color w:val="0070C0"/>
                <w:sz w:val="24"/>
              </w:rPr>
              <w:t xml:space="preserve">eneficial for EU operators. </w:t>
            </w:r>
          </w:p>
          <w:p w14:paraId="6FB889BE" w14:textId="77777777" w:rsidR="007A275B" w:rsidRDefault="007A275B" w:rsidP="00011DA3">
            <w:pPr>
              <w:tabs>
                <w:tab w:val="left" w:pos="709"/>
              </w:tabs>
              <w:spacing w:line="236" w:lineRule="auto"/>
              <w:jc w:val="both"/>
              <w:rPr>
                <w:rFonts w:ascii="Times New Roman" w:eastAsia="Times New Roman" w:hAnsi="Times New Roman"/>
                <w:color w:val="0070C0"/>
                <w:sz w:val="24"/>
              </w:rPr>
            </w:pPr>
          </w:p>
          <w:p w14:paraId="1EDCD1FB" w14:textId="25450AB5" w:rsidR="00011DA3" w:rsidRDefault="00011DA3" w:rsidP="00011DA3">
            <w:pPr>
              <w:tabs>
                <w:tab w:val="left" w:pos="709"/>
              </w:tabs>
              <w:spacing w:line="236" w:lineRule="auto"/>
              <w:jc w:val="both"/>
              <w:rPr>
                <w:rFonts w:ascii="Times New Roman" w:eastAsia="Times New Roman" w:hAnsi="Times New Roman"/>
                <w:color w:val="0070C0"/>
                <w:sz w:val="24"/>
              </w:rPr>
            </w:pPr>
            <w:r>
              <w:rPr>
                <w:rFonts w:ascii="Times New Roman" w:eastAsia="Times New Roman" w:hAnsi="Times New Roman"/>
                <w:color w:val="0070C0"/>
                <w:sz w:val="24"/>
              </w:rPr>
              <w:t xml:space="preserve">Background docs: </w:t>
            </w:r>
          </w:p>
          <w:p w14:paraId="18703F9C" w14:textId="77777777" w:rsidR="00011DA3" w:rsidRDefault="00011DA3" w:rsidP="00011DA3">
            <w:pPr>
              <w:tabs>
                <w:tab w:val="left" w:pos="709"/>
              </w:tabs>
              <w:spacing w:line="236" w:lineRule="auto"/>
              <w:jc w:val="both"/>
              <w:rPr>
                <w:rFonts w:ascii="Times New Roman" w:eastAsia="Times New Roman" w:hAnsi="Times New Roman"/>
                <w:color w:val="0070C0"/>
                <w:sz w:val="24"/>
              </w:rPr>
            </w:pPr>
          </w:p>
          <w:p w14:paraId="6235DE07" w14:textId="54288E4F" w:rsidR="008B10D0" w:rsidRDefault="008B10D0" w:rsidP="00877460">
            <w:pPr>
              <w:numPr>
                <w:ilvl w:val="0"/>
                <w:numId w:val="17"/>
              </w:numPr>
              <w:tabs>
                <w:tab w:val="left" w:pos="709"/>
              </w:tabs>
              <w:spacing w:line="236" w:lineRule="auto"/>
              <w:rPr>
                <w:rFonts w:ascii="Times New Roman" w:eastAsia="Times New Roman" w:hAnsi="Times New Roman"/>
                <w:color w:val="0070C0"/>
                <w:sz w:val="24"/>
              </w:rPr>
            </w:pPr>
            <w:r>
              <w:rPr>
                <w:rFonts w:ascii="Times New Roman" w:eastAsia="Times New Roman" w:hAnsi="Times New Roman"/>
                <w:color w:val="0070C0"/>
                <w:sz w:val="24"/>
              </w:rPr>
              <w:t>‘</w:t>
            </w:r>
            <w:r w:rsidRPr="008B10D0">
              <w:rPr>
                <w:rFonts w:ascii="Times New Roman" w:eastAsia="Times New Roman" w:hAnsi="Times New Roman"/>
                <w:color w:val="0070C0"/>
                <w:sz w:val="24"/>
              </w:rPr>
              <w:t>Study on the impact of EU trade agreements on the EU agricultural sector</w:t>
            </w:r>
            <w:r>
              <w:rPr>
                <w:rFonts w:ascii="Times New Roman" w:eastAsia="Times New Roman" w:hAnsi="Times New Roman"/>
                <w:color w:val="0070C0"/>
                <w:sz w:val="24"/>
              </w:rPr>
              <w:t xml:space="preserve">’, DG Agri News, 27 February 2017 </w:t>
            </w:r>
            <w:hyperlink r:id="rId16" w:history="1">
              <w:r w:rsidRPr="002A05EB">
                <w:rPr>
                  <w:rStyle w:val="Hyperlink"/>
                  <w:rFonts w:ascii="Times New Roman" w:eastAsia="Times New Roman" w:hAnsi="Times New Roman"/>
                  <w:sz w:val="24"/>
                </w:rPr>
                <w:t>https://ec.europa.eu/agriculture/newsroom/331_en</w:t>
              </w:r>
            </w:hyperlink>
            <w:r>
              <w:rPr>
                <w:rFonts w:ascii="Times New Roman" w:eastAsia="Times New Roman" w:hAnsi="Times New Roman"/>
                <w:color w:val="0070C0"/>
                <w:sz w:val="24"/>
              </w:rPr>
              <w:t xml:space="preserve"> </w:t>
            </w:r>
          </w:p>
          <w:p w14:paraId="32E85035" w14:textId="77777777" w:rsidR="008B10D0" w:rsidRDefault="008B10D0" w:rsidP="008B10D0">
            <w:pPr>
              <w:tabs>
                <w:tab w:val="left" w:pos="709"/>
              </w:tabs>
              <w:spacing w:line="236" w:lineRule="auto"/>
              <w:jc w:val="both"/>
              <w:rPr>
                <w:rFonts w:ascii="Times New Roman" w:eastAsia="Times New Roman" w:hAnsi="Times New Roman"/>
                <w:color w:val="0070C0"/>
                <w:sz w:val="24"/>
              </w:rPr>
            </w:pPr>
          </w:p>
          <w:p w14:paraId="07CFDFFA" w14:textId="0343F346" w:rsidR="008B10D0" w:rsidRPr="00011DA3" w:rsidRDefault="000774E1" w:rsidP="00011DA3">
            <w:pPr>
              <w:ind w:left="601"/>
              <w:rPr>
                <w:rFonts w:ascii="Times New Roman" w:eastAsia="Times New Roman" w:hAnsi="Times New Roman" w:cs="Times New Roman"/>
                <w:sz w:val="24"/>
                <w:szCs w:val="24"/>
              </w:rPr>
            </w:pPr>
            <w:hyperlink r:id="rId17" w:history="1">
              <w:r w:rsidR="008B10D0" w:rsidRPr="008B10D0">
                <w:rPr>
                  <w:rFonts w:ascii="Times New Roman" w:eastAsia="Times New Roman" w:hAnsi="Times New Roman" w:cs="Times New Roman"/>
                  <w:color w:val="0000FF"/>
                  <w:sz w:val="24"/>
                  <w:szCs w:val="24"/>
                  <w:u w:val="single"/>
                </w:rPr>
                <w:t>&gt;&gt; Read the study</w:t>
              </w:r>
            </w:hyperlink>
            <w:hyperlink r:id="rId18" w:history="1">
              <w:r w:rsidR="008B10D0" w:rsidRPr="008B10D0">
                <w:rPr>
                  <w:rFonts w:ascii="Times New Roman" w:eastAsia="Times New Roman" w:hAnsi="Times New Roman" w:cs="Times New Roman"/>
                  <w:color w:val="0000FF"/>
                  <w:sz w:val="24"/>
                  <w:szCs w:val="24"/>
                  <w:u w:val="single"/>
                </w:rPr>
                <w:br/>
                <w:t>&gt;&gt; Press realease</w:t>
              </w:r>
            </w:hyperlink>
            <w:hyperlink r:id="rId19" w:history="1">
              <w:r w:rsidR="008B10D0" w:rsidRPr="008B10D0">
                <w:rPr>
                  <w:rFonts w:ascii="Times New Roman" w:eastAsia="Times New Roman" w:hAnsi="Times New Roman" w:cs="Times New Roman"/>
                  <w:color w:val="0000FF"/>
                  <w:sz w:val="24"/>
                  <w:szCs w:val="24"/>
                  <w:u w:val="single"/>
                </w:rPr>
                <w:br/>
                <w:t xml:space="preserve">&gt;&gt; Memo </w:t>
              </w:r>
            </w:hyperlink>
          </w:p>
          <w:p w14:paraId="2B2D23A5" w14:textId="5592222C" w:rsidR="008B10D0" w:rsidRPr="008B10D0" w:rsidRDefault="008B10D0" w:rsidP="008B10D0">
            <w:pPr>
              <w:tabs>
                <w:tab w:val="left" w:pos="709"/>
              </w:tabs>
              <w:spacing w:line="236" w:lineRule="auto"/>
              <w:jc w:val="both"/>
              <w:rPr>
                <w:rFonts w:ascii="Times New Roman" w:eastAsia="Times New Roman" w:hAnsi="Times New Roman"/>
                <w:color w:val="0070C0"/>
                <w:sz w:val="24"/>
              </w:rPr>
            </w:pPr>
          </w:p>
        </w:tc>
      </w:tr>
    </w:tbl>
    <w:p w14:paraId="66A27520" w14:textId="77777777" w:rsidR="008B10D0" w:rsidRDefault="008B10D0" w:rsidP="008B10D0">
      <w:pPr>
        <w:tabs>
          <w:tab w:val="left" w:pos="1080"/>
        </w:tabs>
        <w:spacing w:line="236" w:lineRule="auto"/>
        <w:jc w:val="both"/>
        <w:rPr>
          <w:rFonts w:ascii="Times New Roman" w:eastAsia="Times New Roman" w:hAnsi="Times New Roman"/>
          <w:sz w:val="24"/>
        </w:rPr>
      </w:pPr>
    </w:p>
    <w:p w14:paraId="3D0FE41B" w14:textId="77777777" w:rsidR="005E5006" w:rsidRDefault="005E5006">
      <w:pPr>
        <w:spacing w:line="133" w:lineRule="exact"/>
        <w:rPr>
          <w:rFonts w:ascii="Times New Roman" w:eastAsia="Times New Roman" w:hAnsi="Times New Roman"/>
          <w:sz w:val="24"/>
        </w:rPr>
      </w:pPr>
    </w:p>
    <w:p w14:paraId="25AEAA24" w14:textId="77777777" w:rsidR="005E5006" w:rsidRDefault="005E5006">
      <w:pPr>
        <w:numPr>
          <w:ilvl w:val="1"/>
          <w:numId w:val="7"/>
        </w:numPr>
        <w:tabs>
          <w:tab w:val="left" w:pos="1080"/>
        </w:tabs>
        <w:spacing w:line="234" w:lineRule="auto"/>
        <w:ind w:left="1080" w:hanging="352"/>
        <w:jc w:val="both"/>
        <w:rPr>
          <w:rFonts w:ascii="Times New Roman" w:eastAsia="Times New Roman" w:hAnsi="Times New Roman"/>
          <w:sz w:val="24"/>
        </w:rPr>
      </w:pPr>
      <w:r>
        <w:rPr>
          <w:rFonts w:ascii="Times New Roman" w:eastAsia="Times New Roman" w:hAnsi="Times New Roman"/>
          <w:sz w:val="24"/>
        </w:rPr>
        <w:t>Presentation by DG AGRI "Cumulative economic impact of future trade agreements on EU agriculture"</w:t>
      </w:r>
    </w:p>
    <w:p w14:paraId="4403F42F" w14:textId="77777777" w:rsidR="000C3295" w:rsidRDefault="000C3295" w:rsidP="000C3295">
      <w:pPr>
        <w:tabs>
          <w:tab w:val="left" w:pos="1080"/>
        </w:tabs>
        <w:spacing w:line="234" w:lineRule="auto"/>
        <w:jc w:val="both"/>
        <w:rPr>
          <w:rFonts w:ascii="Times New Roman" w:eastAsia="Times New Roman" w:hAnsi="Times New Roman"/>
          <w:sz w:val="24"/>
        </w:rPr>
      </w:pPr>
    </w:p>
    <w:tbl>
      <w:tblPr>
        <w:tblStyle w:val="TableGrid"/>
        <w:tblW w:w="0" w:type="auto"/>
        <w:tblLook w:val="04A0" w:firstRow="1" w:lastRow="0" w:firstColumn="1" w:lastColumn="0" w:noHBand="0" w:noVBand="1"/>
      </w:tblPr>
      <w:tblGrid>
        <w:gridCol w:w="8836"/>
      </w:tblGrid>
      <w:tr w:rsidR="000C3295" w14:paraId="31A4E9BA" w14:textId="77777777" w:rsidTr="000C3295">
        <w:tc>
          <w:tcPr>
            <w:tcW w:w="8836" w:type="dxa"/>
          </w:tcPr>
          <w:p w14:paraId="6961DADC" w14:textId="37F523DD" w:rsidR="00EF7855" w:rsidRPr="00E97E7A" w:rsidRDefault="00EF7855" w:rsidP="00E97E7A">
            <w:pPr>
              <w:tabs>
                <w:tab w:val="left" w:pos="709"/>
              </w:tabs>
              <w:spacing w:line="236" w:lineRule="auto"/>
              <w:jc w:val="both"/>
              <w:rPr>
                <w:rFonts w:ascii="Times New Roman" w:eastAsia="Times New Roman" w:hAnsi="Times New Roman"/>
                <w:color w:val="0070C0"/>
                <w:sz w:val="24"/>
              </w:rPr>
            </w:pPr>
            <w:r w:rsidRPr="00E97E7A">
              <w:rPr>
                <w:rFonts w:ascii="Times New Roman" w:eastAsia="Times New Roman" w:hAnsi="Times New Roman"/>
                <w:color w:val="0070C0"/>
                <w:sz w:val="24"/>
              </w:rPr>
              <w:t xml:space="preserve">Not clear if this refers to the Joint Research Centre (JRC) study on ‘the Cumulative economic impact of future trade agreements on EU agriculture’ that was published in November 2016. </w:t>
            </w:r>
          </w:p>
          <w:p w14:paraId="526DA89B" w14:textId="77777777" w:rsidR="00EF7855" w:rsidRDefault="00EF7855" w:rsidP="000C3295">
            <w:pPr>
              <w:tabs>
                <w:tab w:val="left" w:pos="709"/>
              </w:tabs>
              <w:spacing w:line="236" w:lineRule="auto"/>
              <w:jc w:val="both"/>
              <w:rPr>
                <w:rFonts w:ascii="Times New Roman" w:eastAsia="Times New Roman" w:hAnsi="Times New Roman"/>
                <w:color w:val="0070C0"/>
                <w:sz w:val="24"/>
              </w:rPr>
            </w:pPr>
          </w:p>
          <w:p w14:paraId="53EA1B8C" w14:textId="285EC917" w:rsidR="00EF7855" w:rsidRDefault="00EF7855" w:rsidP="000C3295">
            <w:pPr>
              <w:tabs>
                <w:tab w:val="left" w:pos="709"/>
              </w:tabs>
              <w:spacing w:line="236" w:lineRule="auto"/>
              <w:jc w:val="both"/>
              <w:rPr>
                <w:rFonts w:ascii="Times New Roman" w:eastAsia="Times New Roman" w:hAnsi="Times New Roman"/>
                <w:color w:val="0070C0"/>
                <w:sz w:val="24"/>
              </w:rPr>
            </w:pPr>
            <w:r>
              <w:rPr>
                <w:rFonts w:ascii="Times New Roman" w:eastAsia="Times New Roman" w:hAnsi="Times New Roman"/>
                <w:color w:val="0070C0"/>
                <w:sz w:val="24"/>
              </w:rPr>
              <w:t>“</w:t>
            </w:r>
            <w:r w:rsidRPr="00EF7855">
              <w:rPr>
                <w:rFonts w:ascii="Times New Roman" w:eastAsia="Times New Roman" w:hAnsi="Times New Roman"/>
                <w:color w:val="0070C0"/>
                <w:sz w:val="24"/>
              </w:rPr>
              <w:t>On 15 November, the European Commission presented to EU agriculture ministers the conclusions of a study on the cumulative effects of 12 future trade agreements (USA, Canada, Mercosur, Australia, New Zealand, Japan, Vietnam, Thailand, Turkey, Mexico, Philippines and Indonesia) on the agri-food sector, including specific results for producer prices and production volumes for a range of products accounting for 30% of the value of the EU exports in the sector.</w:t>
            </w:r>
            <w:r>
              <w:rPr>
                <w:rFonts w:ascii="Times New Roman" w:eastAsia="Times New Roman" w:hAnsi="Times New Roman"/>
                <w:color w:val="0070C0"/>
                <w:sz w:val="24"/>
              </w:rPr>
              <w:t>”</w:t>
            </w:r>
          </w:p>
          <w:p w14:paraId="60FF965A" w14:textId="77777777" w:rsidR="00EF7855" w:rsidRDefault="00EF7855" w:rsidP="000C3295">
            <w:pPr>
              <w:tabs>
                <w:tab w:val="left" w:pos="709"/>
              </w:tabs>
              <w:spacing w:line="236" w:lineRule="auto"/>
              <w:jc w:val="both"/>
              <w:rPr>
                <w:rFonts w:ascii="Times New Roman" w:eastAsia="Times New Roman" w:hAnsi="Times New Roman"/>
                <w:color w:val="0070C0"/>
                <w:sz w:val="24"/>
              </w:rPr>
            </w:pPr>
          </w:p>
          <w:p w14:paraId="4837EC83" w14:textId="159EAB2A" w:rsidR="00EF7855" w:rsidRDefault="00EF7855" w:rsidP="000C3295">
            <w:pPr>
              <w:tabs>
                <w:tab w:val="left" w:pos="709"/>
              </w:tabs>
              <w:spacing w:line="236" w:lineRule="auto"/>
              <w:jc w:val="both"/>
              <w:rPr>
                <w:rFonts w:ascii="Times New Roman" w:eastAsia="Times New Roman" w:hAnsi="Times New Roman"/>
                <w:color w:val="0070C0"/>
                <w:sz w:val="24"/>
              </w:rPr>
            </w:pPr>
            <w:r>
              <w:rPr>
                <w:rFonts w:ascii="Times New Roman" w:eastAsia="Times New Roman" w:hAnsi="Times New Roman"/>
                <w:color w:val="0070C0"/>
                <w:sz w:val="24"/>
              </w:rPr>
              <w:t>One of the key outcomes of the study:</w:t>
            </w:r>
          </w:p>
          <w:p w14:paraId="031927A1" w14:textId="0DA1F1E0" w:rsidR="00EF7855" w:rsidRDefault="00EF7855" w:rsidP="000C3295">
            <w:pPr>
              <w:tabs>
                <w:tab w:val="left" w:pos="709"/>
              </w:tabs>
              <w:spacing w:line="236" w:lineRule="auto"/>
              <w:jc w:val="both"/>
              <w:rPr>
                <w:rFonts w:ascii="Times New Roman" w:eastAsia="Times New Roman" w:hAnsi="Times New Roman"/>
                <w:color w:val="0070C0"/>
                <w:sz w:val="24"/>
              </w:rPr>
            </w:pPr>
            <w:r>
              <w:rPr>
                <w:rFonts w:ascii="Times New Roman" w:eastAsia="Times New Roman" w:hAnsi="Times New Roman"/>
                <w:color w:val="0070C0"/>
                <w:sz w:val="24"/>
              </w:rPr>
              <w:t>“</w:t>
            </w:r>
            <w:r w:rsidRPr="00EF7855">
              <w:rPr>
                <w:rFonts w:ascii="Times New Roman" w:eastAsia="Times New Roman" w:hAnsi="Times New Roman"/>
                <w:color w:val="0070C0"/>
                <w:sz w:val="24"/>
              </w:rPr>
              <w:t>A successful conclusion of trade agreements will have to strike a balance between the achieved market access for offensive agricultural products and the protection of sensitive products. The overall result of trade negotiations should remain acceptable, both economically and socially for EU agriculture.</w:t>
            </w:r>
            <w:r>
              <w:rPr>
                <w:rFonts w:ascii="Times New Roman" w:eastAsia="Times New Roman" w:hAnsi="Times New Roman"/>
                <w:color w:val="0070C0"/>
                <w:sz w:val="24"/>
              </w:rPr>
              <w:t xml:space="preserve">” </w:t>
            </w:r>
          </w:p>
          <w:p w14:paraId="57553E63" w14:textId="77777777" w:rsidR="00EF7855" w:rsidRDefault="00EF7855" w:rsidP="000C3295">
            <w:pPr>
              <w:tabs>
                <w:tab w:val="left" w:pos="709"/>
              </w:tabs>
              <w:spacing w:line="236" w:lineRule="auto"/>
              <w:jc w:val="both"/>
              <w:rPr>
                <w:rFonts w:ascii="Times New Roman" w:eastAsia="Times New Roman" w:hAnsi="Times New Roman"/>
                <w:color w:val="0070C0"/>
                <w:sz w:val="24"/>
              </w:rPr>
            </w:pPr>
          </w:p>
          <w:p w14:paraId="7C4748CB" w14:textId="55C0A0C3" w:rsidR="00EF7855" w:rsidRDefault="00EF7855" w:rsidP="000C3295">
            <w:pPr>
              <w:tabs>
                <w:tab w:val="left" w:pos="709"/>
              </w:tabs>
              <w:spacing w:line="236" w:lineRule="auto"/>
              <w:jc w:val="both"/>
              <w:rPr>
                <w:rFonts w:ascii="Times New Roman" w:eastAsia="Times New Roman" w:hAnsi="Times New Roman"/>
                <w:color w:val="0070C0"/>
                <w:sz w:val="24"/>
                <w:u w:val="single"/>
              </w:rPr>
            </w:pPr>
            <w:r w:rsidRPr="00EF7855">
              <w:rPr>
                <w:rFonts w:ascii="Times New Roman" w:eastAsia="Times New Roman" w:hAnsi="Times New Roman"/>
                <w:color w:val="0070C0"/>
                <w:sz w:val="24"/>
                <w:u w:val="single"/>
              </w:rPr>
              <w:t>Comments</w:t>
            </w:r>
          </w:p>
          <w:p w14:paraId="59E42CFC" w14:textId="68CBDF95" w:rsidR="00EF7855" w:rsidRDefault="00EF7855" w:rsidP="00EF7855">
            <w:pPr>
              <w:numPr>
                <w:ilvl w:val="0"/>
                <w:numId w:val="17"/>
              </w:numPr>
              <w:tabs>
                <w:tab w:val="left" w:pos="709"/>
              </w:tabs>
              <w:spacing w:line="236" w:lineRule="auto"/>
              <w:jc w:val="both"/>
              <w:rPr>
                <w:rFonts w:ascii="Times New Roman" w:eastAsia="Times New Roman" w:hAnsi="Times New Roman"/>
                <w:color w:val="0070C0"/>
                <w:sz w:val="24"/>
              </w:rPr>
            </w:pPr>
            <w:r>
              <w:rPr>
                <w:rFonts w:ascii="Times New Roman" w:eastAsia="Times New Roman" w:hAnsi="Times New Roman"/>
                <w:color w:val="0070C0"/>
                <w:sz w:val="24"/>
              </w:rPr>
              <w:t>T</w:t>
            </w:r>
            <w:r w:rsidRPr="00EF7855">
              <w:rPr>
                <w:rFonts w:ascii="Times New Roman" w:eastAsia="Times New Roman" w:hAnsi="Times New Roman"/>
                <w:color w:val="0070C0"/>
                <w:sz w:val="24"/>
              </w:rPr>
              <w:t xml:space="preserve">he study does not investigate and reflect the potential gains from some of the typical EU flagship processed agricultural products (e.g. sugar confectionery, cocoa preparations, preparations of cereals, bakers' wares and preparations of fruit and vegetables)  and EU key offensive interests in bilateral negotiations. This limitation leads to an underestimation of the potential trade gains.  </w:t>
            </w:r>
          </w:p>
          <w:p w14:paraId="704D4FE9" w14:textId="77777777" w:rsidR="00EF7855" w:rsidRPr="00EF7855" w:rsidRDefault="00EF7855" w:rsidP="000C3295">
            <w:pPr>
              <w:tabs>
                <w:tab w:val="left" w:pos="709"/>
              </w:tabs>
              <w:spacing w:line="236" w:lineRule="auto"/>
              <w:jc w:val="both"/>
              <w:rPr>
                <w:rFonts w:ascii="Times New Roman" w:eastAsia="Times New Roman" w:hAnsi="Times New Roman"/>
                <w:color w:val="0070C0"/>
                <w:sz w:val="24"/>
              </w:rPr>
            </w:pPr>
          </w:p>
          <w:p w14:paraId="1EA74755" w14:textId="59CEED2A" w:rsidR="000C3295" w:rsidRPr="000C3295" w:rsidRDefault="000C3295" w:rsidP="000C3295">
            <w:pPr>
              <w:tabs>
                <w:tab w:val="left" w:pos="709"/>
              </w:tabs>
              <w:spacing w:line="236" w:lineRule="auto"/>
              <w:jc w:val="both"/>
              <w:rPr>
                <w:rFonts w:ascii="Times New Roman" w:eastAsia="Times New Roman" w:hAnsi="Times New Roman"/>
                <w:color w:val="0070C0"/>
                <w:sz w:val="24"/>
              </w:rPr>
            </w:pPr>
            <w:r w:rsidRPr="000C3295">
              <w:rPr>
                <w:rFonts w:ascii="Times New Roman" w:eastAsia="Times New Roman" w:hAnsi="Times New Roman"/>
                <w:color w:val="0070C0"/>
                <w:sz w:val="24"/>
              </w:rPr>
              <w:t>Background docs:</w:t>
            </w:r>
          </w:p>
          <w:p w14:paraId="4890CBFE" w14:textId="77777777" w:rsidR="000C3295" w:rsidRDefault="000C3295" w:rsidP="000C3295">
            <w:pPr>
              <w:tabs>
                <w:tab w:val="left" w:pos="1080"/>
              </w:tabs>
              <w:spacing w:line="234" w:lineRule="auto"/>
              <w:jc w:val="both"/>
              <w:rPr>
                <w:rFonts w:ascii="Times New Roman" w:eastAsia="Times New Roman" w:hAnsi="Times New Roman"/>
                <w:sz w:val="24"/>
              </w:rPr>
            </w:pPr>
          </w:p>
          <w:p w14:paraId="67D135A9" w14:textId="77777777" w:rsidR="00EF7855" w:rsidRDefault="00EF7855" w:rsidP="00EF7855">
            <w:pPr>
              <w:numPr>
                <w:ilvl w:val="0"/>
                <w:numId w:val="17"/>
              </w:numPr>
              <w:tabs>
                <w:tab w:val="left" w:pos="567"/>
              </w:tabs>
              <w:spacing w:line="234" w:lineRule="auto"/>
              <w:jc w:val="both"/>
              <w:rPr>
                <w:rFonts w:ascii="Times New Roman" w:eastAsia="Times New Roman" w:hAnsi="Times New Roman"/>
                <w:color w:val="0070C0"/>
                <w:sz w:val="24"/>
              </w:rPr>
            </w:pPr>
            <w:r>
              <w:rPr>
                <w:rFonts w:ascii="Times New Roman" w:eastAsia="Times New Roman" w:hAnsi="Times New Roman"/>
                <w:color w:val="0070C0"/>
                <w:sz w:val="24"/>
              </w:rPr>
              <w:t>COMP/TRADE/284/16 + Annexes</w:t>
            </w:r>
          </w:p>
          <w:p w14:paraId="46983FA8" w14:textId="77777777" w:rsidR="00EF7855" w:rsidRDefault="00EF7855" w:rsidP="00EF7855">
            <w:pPr>
              <w:tabs>
                <w:tab w:val="left" w:pos="567"/>
              </w:tabs>
              <w:spacing w:line="234" w:lineRule="auto"/>
              <w:ind w:left="360"/>
              <w:jc w:val="both"/>
              <w:rPr>
                <w:rFonts w:ascii="Times New Roman" w:eastAsia="Times New Roman" w:hAnsi="Times New Roman"/>
                <w:color w:val="0070C0"/>
                <w:sz w:val="24"/>
              </w:rPr>
            </w:pPr>
            <w:r>
              <w:rPr>
                <w:rFonts w:ascii="Times New Roman" w:eastAsia="Times New Roman" w:hAnsi="Times New Roman"/>
                <w:color w:val="0070C0"/>
                <w:sz w:val="24"/>
              </w:rPr>
              <w:t xml:space="preserve">    </w:t>
            </w:r>
            <w:r w:rsidRPr="00EF7855">
              <w:rPr>
                <w:rFonts w:ascii="Times New Roman" w:eastAsia="Times New Roman" w:hAnsi="Times New Roman"/>
                <w:color w:val="0070C0"/>
                <w:sz w:val="24"/>
              </w:rPr>
              <w:t xml:space="preserve">Key takeaways and Preliminary analysis of the JRC Report 'Cumulative economic </w:t>
            </w:r>
            <w:r>
              <w:rPr>
                <w:rFonts w:ascii="Times New Roman" w:eastAsia="Times New Roman" w:hAnsi="Times New Roman"/>
                <w:color w:val="0070C0"/>
                <w:sz w:val="24"/>
              </w:rPr>
              <w:t xml:space="preserve"> </w:t>
            </w:r>
          </w:p>
          <w:p w14:paraId="7BFCF08A" w14:textId="686F0327" w:rsidR="000C3295" w:rsidRPr="000C3295" w:rsidRDefault="00EF7855" w:rsidP="00EF7855">
            <w:pPr>
              <w:tabs>
                <w:tab w:val="left" w:pos="567"/>
              </w:tabs>
              <w:spacing w:line="234" w:lineRule="auto"/>
              <w:jc w:val="both"/>
              <w:rPr>
                <w:rFonts w:ascii="Times New Roman" w:eastAsia="Times New Roman" w:hAnsi="Times New Roman"/>
                <w:color w:val="0070C0"/>
                <w:sz w:val="24"/>
              </w:rPr>
            </w:pPr>
            <w:r>
              <w:rPr>
                <w:rFonts w:ascii="Times New Roman" w:eastAsia="Times New Roman" w:hAnsi="Times New Roman"/>
                <w:color w:val="0070C0"/>
                <w:sz w:val="24"/>
              </w:rPr>
              <w:t xml:space="preserve">          </w:t>
            </w:r>
            <w:r w:rsidRPr="00EF7855">
              <w:rPr>
                <w:rFonts w:ascii="Times New Roman" w:eastAsia="Times New Roman" w:hAnsi="Times New Roman"/>
                <w:color w:val="0070C0"/>
                <w:sz w:val="24"/>
              </w:rPr>
              <w:t>impact of future trade agreements on EU agriculture'</w:t>
            </w:r>
            <w:r>
              <w:rPr>
                <w:rFonts w:ascii="Times New Roman" w:eastAsia="Times New Roman" w:hAnsi="Times New Roman"/>
                <w:color w:val="0070C0"/>
                <w:sz w:val="24"/>
              </w:rPr>
              <w:t xml:space="preserve">  </w:t>
            </w:r>
          </w:p>
        </w:tc>
      </w:tr>
    </w:tbl>
    <w:p w14:paraId="66BB8D8F" w14:textId="77777777" w:rsidR="000C3295" w:rsidRDefault="000C3295" w:rsidP="000C3295">
      <w:pPr>
        <w:tabs>
          <w:tab w:val="left" w:pos="1080"/>
        </w:tabs>
        <w:spacing w:line="234" w:lineRule="auto"/>
        <w:jc w:val="both"/>
        <w:rPr>
          <w:rFonts w:ascii="Times New Roman" w:eastAsia="Times New Roman" w:hAnsi="Times New Roman"/>
          <w:sz w:val="24"/>
        </w:rPr>
      </w:pPr>
    </w:p>
    <w:p w14:paraId="38C1E1BF" w14:textId="77777777" w:rsidR="005E5006" w:rsidRDefault="005E5006">
      <w:pPr>
        <w:spacing w:line="121" w:lineRule="exact"/>
        <w:rPr>
          <w:rFonts w:ascii="Times New Roman" w:eastAsia="Times New Roman" w:hAnsi="Times New Roman"/>
          <w:sz w:val="24"/>
        </w:rPr>
      </w:pPr>
    </w:p>
    <w:p w14:paraId="00FE3ED9" w14:textId="77777777" w:rsidR="005E5006" w:rsidRDefault="005E5006">
      <w:pPr>
        <w:numPr>
          <w:ilvl w:val="1"/>
          <w:numId w:val="7"/>
        </w:numPr>
        <w:tabs>
          <w:tab w:val="left" w:pos="1080"/>
        </w:tabs>
        <w:spacing w:line="0" w:lineRule="atLeast"/>
        <w:ind w:left="1080" w:hanging="352"/>
        <w:jc w:val="both"/>
        <w:rPr>
          <w:rFonts w:ascii="Times New Roman" w:eastAsia="Times New Roman" w:hAnsi="Times New Roman"/>
          <w:sz w:val="24"/>
        </w:rPr>
      </w:pPr>
      <w:r>
        <w:rPr>
          <w:rFonts w:ascii="Times New Roman" w:eastAsia="Times New Roman" w:hAnsi="Times New Roman"/>
          <w:sz w:val="24"/>
        </w:rPr>
        <w:t>Exchange with participants</w:t>
      </w:r>
    </w:p>
    <w:p w14:paraId="34BDB1DF" w14:textId="77777777" w:rsidR="005E5006" w:rsidRDefault="005E5006">
      <w:pPr>
        <w:spacing w:line="120" w:lineRule="exact"/>
        <w:rPr>
          <w:rFonts w:ascii="Times New Roman" w:eastAsia="Times New Roman" w:hAnsi="Times New Roman"/>
          <w:sz w:val="24"/>
        </w:rPr>
      </w:pPr>
    </w:p>
    <w:p w14:paraId="6C5D83D7" w14:textId="77777777" w:rsidR="005E5006" w:rsidRDefault="005E5006">
      <w:pPr>
        <w:numPr>
          <w:ilvl w:val="0"/>
          <w:numId w:val="7"/>
        </w:numPr>
        <w:tabs>
          <w:tab w:val="left" w:pos="360"/>
        </w:tabs>
        <w:spacing w:line="0" w:lineRule="atLeast"/>
        <w:ind w:left="360" w:hanging="352"/>
        <w:jc w:val="both"/>
        <w:rPr>
          <w:rFonts w:ascii="Times New Roman" w:eastAsia="Times New Roman" w:hAnsi="Times New Roman"/>
          <w:color w:val="222222"/>
          <w:sz w:val="24"/>
        </w:rPr>
      </w:pPr>
      <w:r>
        <w:rPr>
          <w:rFonts w:ascii="Times New Roman" w:eastAsia="Times New Roman" w:hAnsi="Times New Roman"/>
          <w:color w:val="222222"/>
          <w:sz w:val="24"/>
        </w:rPr>
        <w:t>AOB</w:t>
      </w:r>
    </w:p>
    <w:p w14:paraId="5A97AD8D" w14:textId="77777777" w:rsidR="005E5006" w:rsidRDefault="005E5006">
      <w:pPr>
        <w:spacing w:line="200" w:lineRule="exact"/>
        <w:rPr>
          <w:rFonts w:ascii="Times New Roman" w:eastAsia="Times New Roman" w:hAnsi="Times New Roman"/>
        </w:rPr>
      </w:pPr>
    </w:p>
    <w:p w14:paraId="07E9E5C0" w14:textId="77777777" w:rsidR="005E5006" w:rsidRDefault="005E5006">
      <w:pPr>
        <w:spacing w:line="200" w:lineRule="exact"/>
        <w:rPr>
          <w:rFonts w:ascii="Times New Roman" w:eastAsia="Times New Roman" w:hAnsi="Times New Roman"/>
        </w:rPr>
      </w:pPr>
    </w:p>
    <w:p w14:paraId="331F9CF7" w14:textId="77777777" w:rsidR="005E5006" w:rsidRDefault="005E5006">
      <w:pPr>
        <w:spacing w:line="200" w:lineRule="exact"/>
        <w:rPr>
          <w:rFonts w:ascii="Times New Roman" w:eastAsia="Times New Roman" w:hAnsi="Times New Roman"/>
        </w:rPr>
      </w:pPr>
    </w:p>
    <w:p w14:paraId="5ED57BA2" w14:textId="77777777" w:rsidR="005E5006" w:rsidRDefault="005E5006">
      <w:pPr>
        <w:spacing w:line="200" w:lineRule="exact"/>
        <w:rPr>
          <w:rFonts w:ascii="Times New Roman" w:eastAsia="Times New Roman" w:hAnsi="Times New Roman"/>
        </w:rPr>
      </w:pPr>
    </w:p>
    <w:p w14:paraId="3EF4CFC4" w14:textId="77777777" w:rsidR="005E5006" w:rsidRDefault="005E5006">
      <w:pPr>
        <w:spacing w:line="200" w:lineRule="exact"/>
        <w:rPr>
          <w:rFonts w:ascii="Times New Roman" w:eastAsia="Times New Roman" w:hAnsi="Times New Roman"/>
        </w:rPr>
      </w:pPr>
    </w:p>
    <w:p w14:paraId="50D36AD8" w14:textId="77777777" w:rsidR="005E5006" w:rsidRDefault="005E5006">
      <w:pPr>
        <w:spacing w:line="200" w:lineRule="exact"/>
        <w:rPr>
          <w:rFonts w:ascii="Times New Roman" w:eastAsia="Times New Roman" w:hAnsi="Times New Roman"/>
        </w:rPr>
      </w:pPr>
    </w:p>
    <w:p w14:paraId="59B6B5BC" w14:textId="77777777" w:rsidR="005E5006" w:rsidRDefault="005E5006">
      <w:pPr>
        <w:spacing w:line="360" w:lineRule="exact"/>
        <w:rPr>
          <w:rFonts w:ascii="Times New Roman" w:eastAsia="Times New Roman" w:hAnsi="Times New Roman"/>
        </w:rPr>
      </w:pPr>
    </w:p>
    <w:p w14:paraId="5166E242" w14:textId="77777777" w:rsidR="005E5006" w:rsidRDefault="005E5006">
      <w:pPr>
        <w:spacing w:line="0" w:lineRule="atLeast"/>
        <w:ind w:left="6180"/>
        <w:rPr>
          <w:rFonts w:ascii="Times New Roman" w:eastAsia="Times New Roman" w:hAnsi="Times New Roman"/>
          <w:sz w:val="24"/>
        </w:rPr>
      </w:pPr>
      <w:r>
        <w:rPr>
          <w:rFonts w:ascii="Times New Roman" w:eastAsia="Times New Roman" w:hAnsi="Times New Roman"/>
          <w:sz w:val="24"/>
        </w:rPr>
        <w:t>Péter BOKOR</w:t>
      </w:r>
    </w:p>
    <w:p w14:paraId="7302EC91" w14:textId="77777777" w:rsidR="005E5006" w:rsidRDefault="005E5006">
      <w:pPr>
        <w:spacing w:line="238" w:lineRule="auto"/>
        <w:ind w:left="5600"/>
        <w:rPr>
          <w:rFonts w:ascii="Times New Roman" w:eastAsia="Times New Roman" w:hAnsi="Times New Roman"/>
          <w:sz w:val="24"/>
        </w:rPr>
      </w:pPr>
      <w:r>
        <w:rPr>
          <w:rFonts w:ascii="Times New Roman" w:eastAsia="Times New Roman" w:hAnsi="Times New Roman"/>
          <w:sz w:val="24"/>
        </w:rPr>
        <w:t>Chef d'Unité/Head of Unit</w:t>
      </w:r>
    </w:p>
    <w:p w14:paraId="523A7AC6" w14:textId="77777777" w:rsidR="005E5006" w:rsidRDefault="005E5006">
      <w:pPr>
        <w:spacing w:line="200" w:lineRule="exact"/>
        <w:rPr>
          <w:rFonts w:ascii="Times New Roman" w:eastAsia="Times New Roman" w:hAnsi="Times New Roman"/>
        </w:rPr>
      </w:pPr>
    </w:p>
    <w:p w14:paraId="2884E0C3" w14:textId="77777777" w:rsidR="005E5006" w:rsidRDefault="005E5006">
      <w:pPr>
        <w:spacing w:line="281" w:lineRule="exact"/>
        <w:rPr>
          <w:rFonts w:ascii="Times New Roman" w:eastAsia="Times New Roman" w:hAnsi="Times New Roman"/>
        </w:rPr>
      </w:pPr>
    </w:p>
    <w:p w14:paraId="0CAF62B9" w14:textId="77777777" w:rsidR="005E5006" w:rsidRDefault="005E5006">
      <w:pPr>
        <w:tabs>
          <w:tab w:val="left" w:pos="1980"/>
        </w:tabs>
        <w:spacing w:line="0" w:lineRule="atLeast"/>
        <w:rPr>
          <w:rFonts w:ascii="Times New Roman" w:eastAsia="Times New Roman" w:hAnsi="Times New Roman"/>
          <w:sz w:val="24"/>
        </w:rPr>
      </w:pPr>
      <w:r>
        <w:rPr>
          <w:rFonts w:ascii="Times New Roman" w:eastAsia="Times New Roman" w:hAnsi="Times New Roman"/>
          <w:sz w:val="24"/>
        </w:rPr>
        <w:t>Copies:</w:t>
      </w:r>
      <w:r>
        <w:rPr>
          <w:rFonts w:ascii="Times New Roman" w:eastAsia="Times New Roman" w:hAnsi="Times New Roman"/>
        </w:rPr>
        <w:tab/>
      </w:r>
      <w:r>
        <w:rPr>
          <w:rFonts w:ascii="Times New Roman" w:eastAsia="Times New Roman" w:hAnsi="Times New Roman"/>
          <w:sz w:val="24"/>
        </w:rPr>
        <w:t>Mmes, Gerstgrasser, MM. John Clarke, Willi Schulz-Greve, Péter</w:t>
      </w:r>
    </w:p>
    <w:p w14:paraId="3F6B0A6E" w14:textId="77777777" w:rsidR="005E5006" w:rsidRDefault="005E5006">
      <w:pPr>
        <w:spacing w:line="0" w:lineRule="atLeast"/>
        <w:ind w:left="2000"/>
        <w:rPr>
          <w:rFonts w:ascii="Times New Roman" w:eastAsia="Times New Roman" w:hAnsi="Times New Roman"/>
          <w:sz w:val="24"/>
        </w:rPr>
      </w:pPr>
      <w:r>
        <w:rPr>
          <w:rFonts w:ascii="Times New Roman" w:eastAsia="Times New Roman" w:hAnsi="Times New Roman"/>
          <w:sz w:val="24"/>
        </w:rPr>
        <w:t>Bokor, Stephan Juergen Koehler, Mauro Poinelli, Mmes. Lene</w:t>
      </w:r>
    </w:p>
    <w:p w14:paraId="087BF2C9" w14:textId="77777777" w:rsidR="005E5006" w:rsidRDefault="005E5006">
      <w:pPr>
        <w:spacing w:line="0" w:lineRule="atLeast"/>
        <w:ind w:left="2000"/>
        <w:rPr>
          <w:rFonts w:ascii="Times New Roman" w:eastAsia="Times New Roman" w:hAnsi="Times New Roman"/>
          <w:sz w:val="24"/>
        </w:rPr>
      </w:pPr>
      <w:r>
        <w:rPr>
          <w:rFonts w:ascii="Times New Roman" w:eastAsia="Times New Roman" w:hAnsi="Times New Roman"/>
          <w:sz w:val="24"/>
        </w:rPr>
        <w:t>Naesager, Annette Hurrelmann, Nikiel-Lambert,, Scic-Agenda.</w:t>
      </w:r>
    </w:p>
    <w:p w14:paraId="161DADD0" w14:textId="77777777" w:rsidR="005E5006" w:rsidRDefault="005E5006">
      <w:pPr>
        <w:spacing w:line="200" w:lineRule="exact"/>
        <w:rPr>
          <w:rFonts w:ascii="Times New Roman" w:eastAsia="Times New Roman" w:hAnsi="Times New Roman"/>
        </w:rPr>
      </w:pPr>
    </w:p>
    <w:p w14:paraId="0BA1BF29" w14:textId="77777777" w:rsidR="005E5006" w:rsidRDefault="005E5006">
      <w:pPr>
        <w:spacing w:line="200" w:lineRule="exact"/>
        <w:rPr>
          <w:rFonts w:ascii="Times New Roman" w:eastAsia="Times New Roman" w:hAnsi="Times New Roman"/>
        </w:rPr>
      </w:pPr>
    </w:p>
    <w:p w14:paraId="572F3D05" w14:textId="77777777" w:rsidR="005E5006" w:rsidRDefault="005E5006">
      <w:pPr>
        <w:spacing w:line="200" w:lineRule="exact"/>
        <w:rPr>
          <w:rFonts w:ascii="Times New Roman" w:eastAsia="Times New Roman" w:hAnsi="Times New Roman"/>
        </w:rPr>
      </w:pPr>
    </w:p>
    <w:p w14:paraId="4A44BA57" w14:textId="77777777" w:rsidR="005E5006" w:rsidRDefault="005E5006">
      <w:pPr>
        <w:spacing w:line="200" w:lineRule="exact"/>
        <w:rPr>
          <w:rFonts w:ascii="Times New Roman" w:eastAsia="Times New Roman" w:hAnsi="Times New Roman"/>
        </w:rPr>
      </w:pPr>
    </w:p>
    <w:p w14:paraId="49AD670F" w14:textId="77777777" w:rsidR="005E5006" w:rsidRDefault="005E5006">
      <w:pPr>
        <w:spacing w:line="200" w:lineRule="exact"/>
        <w:rPr>
          <w:rFonts w:ascii="Times New Roman" w:eastAsia="Times New Roman" w:hAnsi="Times New Roman"/>
        </w:rPr>
      </w:pPr>
    </w:p>
    <w:p w14:paraId="1C5780EB" w14:textId="77777777" w:rsidR="005E5006" w:rsidRDefault="005E5006">
      <w:pPr>
        <w:spacing w:line="200" w:lineRule="exact"/>
        <w:rPr>
          <w:rFonts w:ascii="Times New Roman" w:eastAsia="Times New Roman" w:hAnsi="Times New Roman"/>
        </w:rPr>
      </w:pPr>
    </w:p>
    <w:p w14:paraId="63F9825F" w14:textId="77777777" w:rsidR="005E5006" w:rsidRDefault="005E5006">
      <w:pPr>
        <w:spacing w:line="200" w:lineRule="exact"/>
        <w:rPr>
          <w:rFonts w:ascii="Times New Roman" w:eastAsia="Times New Roman" w:hAnsi="Times New Roman"/>
        </w:rPr>
      </w:pPr>
    </w:p>
    <w:p w14:paraId="760B6FE4" w14:textId="77777777" w:rsidR="005E5006" w:rsidRDefault="005E5006">
      <w:pPr>
        <w:spacing w:line="200" w:lineRule="exact"/>
        <w:rPr>
          <w:rFonts w:ascii="Times New Roman" w:eastAsia="Times New Roman" w:hAnsi="Times New Roman"/>
        </w:rPr>
      </w:pPr>
    </w:p>
    <w:p w14:paraId="2FD087EC" w14:textId="77777777" w:rsidR="005E5006" w:rsidRDefault="005E5006">
      <w:pPr>
        <w:spacing w:line="200" w:lineRule="exact"/>
        <w:rPr>
          <w:rFonts w:ascii="Times New Roman" w:eastAsia="Times New Roman" w:hAnsi="Times New Roman"/>
        </w:rPr>
      </w:pPr>
    </w:p>
    <w:p w14:paraId="6DFB3994" w14:textId="77777777" w:rsidR="005E5006" w:rsidRDefault="005E5006">
      <w:pPr>
        <w:spacing w:line="200" w:lineRule="exact"/>
        <w:rPr>
          <w:rFonts w:ascii="Times New Roman" w:eastAsia="Times New Roman" w:hAnsi="Times New Roman"/>
        </w:rPr>
      </w:pPr>
    </w:p>
    <w:p w14:paraId="59DCE298" w14:textId="77777777" w:rsidR="005E5006" w:rsidRDefault="005E5006">
      <w:pPr>
        <w:spacing w:line="200" w:lineRule="exact"/>
        <w:rPr>
          <w:rFonts w:ascii="Times New Roman" w:eastAsia="Times New Roman" w:hAnsi="Times New Roman"/>
        </w:rPr>
      </w:pPr>
    </w:p>
    <w:p w14:paraId="09EDB691" w14:textId="77777777" w:rsidR="005E5006" w:rsidRDefault="005E5006">
      <w:pPr>
        <w:spacing w:line="200" w:lineRule="exact"/>
        <w:rPr>
          <w:rFonts w:ascii="Times New Roman" w:eastAsia="Times New Roman" w:hAnsi="Times New Roman"/>
        </w:rPr>
      </w:pPr>
    </w:p>
    <w:p w14:paraId="7F8187E1" w14:textId="77777777" w:rsidR="005E5006" w:rsidRDefault="005E5006">
      <w:pPr>
        <w:spacing w:line="200" w:lineRule="exact"/>
        <w:rPr>
          <w:rFonts w:ascii="Times New Roman" w:eastAsia="Times New Roman" w:hAnsi="Times New Roman"/>
        </w:rPr>
      </w:pPr>
    </w:p>
    <w:p w14:paraId="2746AD37" w14:textId="77777777" w:rsidR="005E5006" w:rsidRDefault="005E5006">
      <w:pPr>
        <w:spacing w:line="200" w:lineRule="exact"/>
        <w:rPr>
          <w:rFonts w:ascii="Times New Roman" w:eastAsia="Times New Roman" w:hAnsi="Times New Roman"/>
        </w:rPr>
      </w:pPr>
    </w:p>
    <w:p w14:paraId="5D6FCECD" w14:textId="77777777" w:rsidR="005E5006" w:rsidRDefault="005E5006">
      <w:pPr>
        <w:spacing w:line="200" w:lineRule="exact"/>
        <w:rPr>
          <w:rFonts w:ascii="Times New Roman" w:eastAsia="Times New Roman" w:hAnsi="Times New Roman"/>
        </w:rPr>
      </w:pPr>
    </w:p>
    <w:p w14:paraId="255D74AD" w14:textId="77777777" w:rsidR="005E5006" w:rsidRDefault="005E5006">
      <w:pPr>
        <w:spacing w:line="200" w:lineRule="exact"/>
        <w:rPr>
          <w:rFonts w:ascii="Times New Roman" w:eastAsia="Times New Roman" w:hAnsi="Times New Roman"/>
        </w:rPr>
      </w:pPr>
    </w:p>
    <w:p w14:paraId="0D51E166" w14:textId="77777777" w:rsidR="005E5006" w:rsidRDefault="005E5006">
      <w:pPr>
        <w:spacing w:line="200" w:lineRule="exact"/>
        <w:rPr>
          <w:rFonts w:ascii="Times New Roman" w:eastAsia="Times New Roman" w:hAnsi="Times New Roman"/>
        </w:rPr>
      </w:pPr>
    </w:p>
    <w:p w14:paraId="1940C3A6" w14:textId="77777777" w:rsidR="005E5006" w:rsidRDefault="005E5006">
      <w:pPr>
        <w:spacing w:line="200" w:lineRule="exact"/>
        <w:rPr>
          <w:rFonts w:ascii="Times New Roman" w:eastAsia="Times New Roman" w:hAnsi="Times New Roman"/>
        </w:rPr>
      </w:pPr>
    </w:p>
    <w:p w14:paraId="649E769E" w14:textId="77777777" w:rsidR="005E5006" w:rsidRDefault="005E5006">
      <w:pPr>
        <w:spacing w:line="200" w:lineRule="exact"/>
        <w:rPr>
          <w:rFonts w:ascii="Times New Roman" w:eastAsia="Times New Roman" w:hAnsi="Times New Roman"/>
        </w:rPr>
      </w:pPr>
    </w:p>
    <w:p w14:paraId="2E3977E5" w14:textId="77777777" w:rsidR="005E5006" w:rsidRDefault="005E5006">
      <w:pPr>
        <w:spacing w:line="200" w:lineRule="exact"/>
        <w:rPr>
          <w:rFonts w:ascii="Times New Roman" w:eastAsia="Times New Roman" w:hAnsi="Times New Roman"/>
        </w:rPr>
      </w:pPr>
    </w:p>
    <w:p w14:paraId="6DB966A1" w14:textId="77777777" w:rsidR="005E5006" w:rsidRDefault="005E5006">
      <w:pPr>
        <w:spacing w:line="200" w:lineRule="exact"/>
        <w:rPr>
          <w:rFonts w:ascii="Times New Roman" w:eastAsia="Times New Roman" w:hAnsi="Times New Roman"/>
        </w:rPr>
      </w:pPr>
    </w:p>
    <w:p w14:paraId="7CA3118A" w14:textId="77777777" w:rsidR="005E5006" w:rsidRDefault="005E5006">
      <w:pPr>
        <w:spacing w:line="200" w:lineRule="exact"/>
        <w:rPr>
          <w:rFonts w:ascii="Times New Roman" w:eastAsia="Times New Roman" w:hAnsi="Times New Roman"/>
        </w:rPr>
      </w:pPr>
    </w:p>
    <w:p w14:paraId="16E4E06F" w14:textId="77777777" w:rsidR="005E5006" w:rsidRDefault="005E5006">
      <w:pPr>
        <w:spacing w:line="200" w:lineRule="exact"/>
        <w:rPr>
          <w:rFonts w:ascii="Times New Roman" w:eastAsia="Times New Roman" w:hAnsi="Times New Roman"/>
        </w:rPr>
      </w:pPr>
    </w:p>
    <w:p w14:paraId="6582BB31" w14:textId="77777777" w:rsidR="005E5006" w:rsidRDefault="005E5006">
      <w:pPr>
        <w:spacing w:line="200" w:lineRule="exact"/>
        <w:rPr>
          <w:rFonts w:ascii="Times New Roman" w:eastAsia="Times New Roman" w:hAnsi="Times New Roman"/>
        </w:rPr>
      </w:pPr>
    </w:p>
    <w:p w14:paraId="635441D5" w14:textId="77777777" w:rsidR="005E5006" w:rsidRDefault="005E5006">
      <w:pPr>
        <w:spacing w:line="200" w:lineRule="exact"/>
        <w:rPr>
          <w:rFonts w:ascii="Times New Roman" w:eastAsia="Times New Roman" w:hAnsi="Times New Roman"/>
        </w:rPr>
      </w:pPr>
    </w:p>
    <w:p w14:paraId="326E6BF6" w14:textId="77777777" w:rsidR="005E5006" w:rsidRDefault="005E5006">
      <w:pPr>
        <w:spacing w:line="306" w:lineRule="exact"/>
        <w:rPr>
          <w:rFonts w:ascii="Times New Roman" w:eastAsia="Times New Roman" w:hAnsi="Times New Roman"/>
        </w:rPr>
      </w:pPr>
    </w:p>
    <w:p w14:paraId="51307F34" w14:textId="77777777" w:rsidR="005E5006" w:rsidRDefault="005E5006">
      <w:pPr>
        <w:spacing w:line="0" w:lineRule="atLeast"/>
        <w:ind w:left="4560"/>
        <w:rPr>
          <w:rFonts w:ascii="Arial" w:eastAsia="Arial" w:hAnsi="Arial"/>
          <w:sz w:val="16"/>
        </w:rPr>
      </w:pPr>
      <w:r>
        <w:rPr>
          <w:rFonts w:ascii="Arial" w:eastAsia="Arial" w:hAnsi="Arial"/>
          <w:sz w:val="16"/>
        </w:rPr>
        <w:t>3</w:t>
      </w:r>
    </w:p>
    <w:p w14:paraId="4C8CC8A1" w14:textId="77777777" w:rsidR="005E5006" w:rsidRDefault="005E5006">
      <w:pPr>
        <w:spacing w:line="0" w:lineRule="atLeast"/>
        <w:ind w:left="4560"/>
        <w:rPr>
          <w:rFonts w:ascii="Arial" w:eastAsia="Arial" w:hAnsi="Arial"/>
          <w:sz w:val="16"/>
        </w:rPr>
        <w:sectPr w:rsidR="005E5006">
          <w:pgSz w:w="11900" w:h="16838"/>
          <w:pgMar w:top="1114" w:right="1700" w:bottom="804" w:left="1580" w:header="0" w:footer="0" w:gutter="0"/>
          <w:cols w:space="0" w:equalWidth="0">
            <w:col w:w="8620"/>
          </w:cols>
          <w:docGrid w:linePitch="360"/>
        </w:sectPr>
      </w:pPr>
    </w:p>
    <w:p w14:paraId="4FF9A10E" w14:textId="3ECD830B" w:rsidR="005E5006" w:rsidRDefault="006C510F">
      <w:pPr>
        <w:spacing w:line="238" w:lineRule="auto"/>
        <w:ind w:left="900" w:right="320"/>
        <w:jc w:val="both"/>
        <w:rPr>
          <w:rFonts w:ascii="Times New Roman" w:eastAsia="Times New Roman" w:hAnsi="Times New Roman"/>
        </w:rPr>
      </w:pPr>
      <w:bookmarkStart w:id="2" w:name="page4"/>
      <w:bookmarkEnd w:id="2"/>
      <w:r>
        <w:rPr>
          <w:rFonts w:ascii="Arial" w:eastAsia="Arial" w:hAnsi="Arial"/>
          <w:noProof/>
          <w:sz w:val="16"/>
          <w:lang w:val="fr-BE" w:eastAsia="fr-BE"/>
        </w:rPr>
        <w:drawing>
          <wp:anchor distT="0" distB="0" distL="114300" distR="114300" simplePos="0" relativeHeight="251658752" behindDoc="1" locked="0" layoutInCell="0" allowOverlap="1" wp14:anchorId="7F302D8C" wp14:editId="7E813B51">
            <wp:simplePos x="0" y="0"/>
            <wp:positionH relativeFrom="page">
              <wp:posOffset>932815</wp:posOffset>
            </wp:positionH>
            <wp:positionV relativeFrom="page">
              <wp:posOffset>709295</wp:posOffset>
            </wp:positionV>
            <wp:extent cx="5624195" cy="85979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24195" cy="8597900"/>
                    </a:xfrm>
                    <a:prstGeom prst="rect">
                      <a:avLst/>
                    </a:prstGeom>
                    <a:noFill/>
                  </pic:spPr>
                </pic:pic>
              </a:graphicData>
            </a:graphic>
            <wp14:sizeRelH relativeFrom="page">
              <wp14:pctWidth>0</wp14:pctWidth>
            </wp14:sizeRelH>
            <wp14:sizeRelV relativeFrom="page">
              <wp14:pctHeight>0</wp14:pctHeight>
            </wp14:sizeRelV>
          </wp:anchor>
        </w:drawing>
      </w:r>
      <w:r w:rsidR="005E5006">
        <w:rPr>
          <w:rFonts w:ascii="Times New Roman" w:eastAsia="Times New Roman" w:hAnsi="Times New Roman"/>
        </w:rPr>
        <w:t xml:space="preserve">L'accès à la salle de réunion est STRICTEMENT limité aux EXPERTS du GDC désignés et annoncés par les organisations constituées à l’échelon de l'Union Européenne. Prière d’enregistrer leur nom au moins 3 jours ouvrables avant la réunion via le système électronique d’enregistrement de la DG AGRI – (portail AWAI : </w:t>
      </w:r>
      <w:hyperlink r:id="rId21" w:history="1">
        <w:r w:rsidR="005E5006">
          <w:rPr>
            <w:rFonts w:ascii="Times New Roman" w:eastAsia="Times New Roman" w:hAnsi="Times New Roman"/>
            <w:color w:val="0000FF"/>
            <w:u w:val="single"/>
          </w:rPr>
          <w:t>https://webgate.ec.europa.eu/agriportal/awaiportal</w:t>
        </w:r>
        <w:r w:rsidR="005E5006">
          <w:rPr>
            <w:rFonts w:ascii="Times New Roman" w:eastAsia="Times New Roman" w:hAnsi="Times New Roman"/>
            <w:u w:val="single"/>
          </w:rPr>
          <w:t>)</w:t>
        </w:r>
      </w:hyperlink>
      <w:r w:rsidR="005E5006">
        <w:rPr>
          <w:rFonts w:ascii="Times New Roman" w:eastAsia="Times New Roman" w:hAnsi="Times New Roman"/>
        </w:rPr>
        <w:t>. Les frais de voyage et une indemnité de séjour forfaitaire ne sont remboursés que pour les EXPERTS du groupe annoncés selon le nouveau règlement entré en vigueur le 1</w:t>
      </w:r>
      <w:r w:rsidR="005E5006">
        <w:rPr>
          <w:rFonts w:ascii="Times New Roman" w:eastAsia="Times New Roman" w:hAnsi="Times New Roman"/>
          <w:sz w:val="25"/>
          <w:vertAlign w:val="superscript"/>
        </w:rPr>
        <w:t>er</w:t>
      </w:r>
      <w:r w:rsidR="005E5006">
        <w:rPr>
          <w:rFonts w:ascii="Times New Roman" w:eastAsia="Times New Roman" w:hAnsi="Times New Roman"/>
        </w:rPr>
        <w:t xml:space="preserve"> janvier 2008 (disponible sur CIRCABC).</w:t>
      </w:r>
    </w:p>
    <w:p w14:paraId="36A46463" w14:textId="77777777" w:rsidR="005E5006" w:rsidRDefault="005E5006">
      <w:pPr>
        <w:spacing w:line="195" w:lineRule="exact"/>
        <w:rPr>
          <w:rFonts w:ascii="Times New Roman" w:eastAsia="Times New Roman" w:hAnsi="Times New Roman"/>
        </w:rPr>
      </w:pPr>
    </w:p>
    <w:p w14:paraId="5BABFCAF" w14:textId="77777777" w:rsidR="005E5006" w:rsidRDefault="005E5006">
      <w:pPr>
        <w:spacing w:line="236" w:lineRule="auto"/>
        <w:ind w:left="900" w:right="320"/>
        <w:jc w:val="both"/>
        <w:rPr>
          <w:rFonts w:ascii="Times New Roman" w:eastAsia="Times New Roman" w:hAnsi="Times New Roman"/>
          <w:i/>
        </w:rPr>
      </w:pPr>
      <w:r>
        <w:rPr>
          <w:rFonts w:ascii="Times New Roman" w:eastAsia="Times New Roman" w:hAnsi="Times New Roman"/>
          <w:i/>
        </w:rPr>
        <w:t>Les experts doivent impérativement présenter lors de la réunion le(les) titre(s) de transport utilisé(s) indiquant clairement le(s) prix, un billet électronique ne mentionnant pas le prix, devra expressément être accompagné d'une facture.</w:t>
      </w:r>
    </w:p>
    <w:p w14:paraId="7009B3CB" w14:textId="77777777" w:rsidR="005E5006" w:rsidRDefault="005E5006">
      <w:pPr>
        <w:spacing w:line="252" w:lineRule="exact"/>
        <w:rPr>
          <w:rFonts w:ascii="Times New Roman" w:eastAsia="Times New Roman" w:hAnsi="Times New Roman"/>
        </w:rPr>
      </w:pPr>
    </w:p>
    <w:p w14:paraId="3F435401" w14:textId="77777777" w:rsidR="005E5006" w:rsidRDefault="005E5006">
      <w:pPr>
        <w:spacing w:line="234" w:lineRule="auto"/>
        <w:ind w:left="900" w:right="320"/>
        <w:jc w:val="both"/>
        <w:rPr>
          <w:rFonts w:ascii="Times New Roman" w:eastAsia="Times New Roman" w:hAnsi="Times New Roman"/>
          <w:i/>
        </w:rPr>
      </w:pPr>
      <w:r>
        <w:rPr>
          <w:rFonts w:ascii="Times New Roman" w:eastAsia="Times New Roman" w:hAnsi="Times New Roman"/>
          <w:i/>
        </w:rPr>
        <w:t>Les transports aériens ne sont autorisés que si la distance entre le point de départ indiqué dans l'invitation et le lieu de réunion est supérieure à 400 km ou si le voyage comporte une traversée maritime.</w:t>
      </w:r>
    </w:p>
    <w:p w14:paraId="14FA7B83" w14:textId="77777777" w:rsidR="005E5006" w:rsidRDefault="005E5006">
      <w:pPr>
        <w:spacing w:line="254" w:lineRule="exact"/>
        <w:rPr>
          <w:rFonts w:ascii="Times New Roman" w:eastAsia="Times New Roman" w:hAnsi="Times New Roman"/>
        </w:rPr>
      </w:pPr>
    </w:p>
    <w:p w14:paraId="68611F90" w14:textId="77777777" w:rsidR="005E5006" w:rsidRDefault="005E5006">
      <w:pPr>
        <w:spacing w:line="236" w:lineRule="auto"/>
        <w:ind w:left="900" w:right="320"/>
        <w:jc w:val="both"/>
        <w:rPr>
          <w:rFonts w:ascii="Times New Roman" w:eastAsia="Times New Roman" w:hAnsi="Times New Roman"/>
          <w:b/>
          <w:i/>
        </w:rPr>
      </w:pPr>
      <w:r>
        <w:rPr>
          <w:rFonts w:ascii="Times New Roman" w:eastAsia="Times New Roman" w:hAnsi="Times New Roman"/>
          <w:b/>
          <w:i/>
        </w:rPr>
        <w:t>Les billets d'avion devraient être réservés en classe «Economy», sur base du prix le plus avantageux à la réception de l'invitation et qui permette de participer à la réunion et de voyager durant la semaine de travail.</w:t>
      </w:r>
    </w:p>
    <w:p w14:paraId="7104C262" w14:textId="77777777" w:rsidR="005E5006" w:rsidRDefault="005E5006">
      <w:pPr>
        <w:spacing w:line="249" w:lineRule="exact"/>
        <w:rPr>
          <w:rFonts w:ascii="Times New Roman" w:eastAsia="Times New Roman" w:hAnsi="Times New Roman"/>
        </w:rPr>
      </w:pPr>
    </w:p>
    <w:p w14:paraId="5EA21918" w14:textId="77777777" w:rsidR="005E5006" w:rsidRDefault="005E5006">
      <w:pPr>
        <w:spacing w:line="237" w:lineRule="auto"/>
        <w:ind w:left="900" w:right="320"/>
        <w:jc w:val="both"/>
        <w:rPr>
          <w:rFonts w:ascii="Times New Roman" w:eastAsia="Times New Roman" w:hAnsi="Times New Roman"/>
          <w:i/>
        </w:rPr>
      </w:pPr>
      <w:r>
        <w:rPr>
          <w:rFonts w:ascii="Times New Roman" w:eastAsia="Times New Roman" w:hAnsi="Times New Roman"/>
          <w:i/>
        </w:rPr>
        <w:t>Si, pour des raisons exceptionnelles et indépendantes des experts, les billets doivent être réservés en classe «business» et/ou à un prix plus élevé, l'expert fournira avec son billet les pièces justificatives émanant de l'agence de voyage. En l’absence de ces pièces justificatives, les billets en classe «business» ne seront partiellement remboursés que sur base du prix applicable à la classe «Economy».</w:t>
      </w:r>
    </w:p>
    <w:p w14:paraId="0BA9925A" w14:textId="77777777" w:rsidR="005E5006" w:rsidRDefault="005E5006">
      <w:pPr>
        <w:spacing w:line="245" w:lineRule="exact"/>
        <w:rPr>
          <w:rFonts w:ascii="Times New Roman" w:eastAsia="Times New Roman" w:hAnsi="Times New Roman"/>
        </w:rPr>
      </w:pPr>
    </w:p>
    <w:p w14:paraId="03603801" w14:textId="77777777" w:rsidR="005E5006" w:rsidRDefault="005E5006">
      <w:pPr>
        <w:spacing w:line="0" w:lineRule="atLeast"/>
        <w:ind w:left="900"/>
        <w:rPr>
          <w:rFonts w:ascii="Times New Roman" w:eastAsia="Times New Roman" w:hAnsi="Times New Roman"/>
          <w:b/>
          <w:i/>
        </w:rPr>
      </w:pPr>
      <w:r>
        <w:rPr>
          <w:rFonts w:ascii="Times New Roman" w:eastAsia="Times New Roman" w:hAnsi="Times New Roman"/>
          <w:b/>
          <w:i/>
        </w:rPr>
        <w:t>Il est recommandé aux participants de réserver leurs billets dès réception de la convocation.</w:t>
      </w:r>
    </w:p>
    <w:p w14:paraId="1D511F69" w14:textId="77777777" w:rsidR="005E5006" w:rsidRDefault="005E5006">
      <w:pPr>
        <w:spacing w:line="247" w:lineRule="exact"/>
        <w:rPr>
          <w:rFonts w:ascii="Times New Roman" w:eastAsia="Times New Roman" w:hAnsi="Times New Roman"/>
        </w:rPr>
      </w:pPr>
    </w:p>
    <w:p w14:paraId="4C2EB697" w14:textId="77777777" w:rsidR="005E5006" w:rsidRDefault="005E5006">
      <w:pPr>
        <w:spacing w:line="236" w:lineRule="auto"/>
        <w:ind w:left="900" w:right="320"/>
        <w:jc w:val="both"/>
        <w:rPr>
          <w:rFonts w:ascii="Times New Roman" w:eastAsia="Times New Roman" w:hAnsi="Times New Roman"/>
        </w:rPr>
      </w:pPr>
      <w:r>
        <w:rPr>
          <w:rFonts w:ascii="Times New Roman" w:eastAsia="Times New Roman" w:hAnsi="Times New Roman"/>
        </w:rPr>
        <w:t>Conformément au règlement n° 45/2001, les traitements de données personnelles relatifs aux groupes ont été notifiés par le Secrétariat Général au Délégué à la protection des données de la Commission (notification DPO-2194), ainsi que CIRCABC (DPO-1008) et AWAI (DPO-1932).</w:t>
      </w:r>
    </w:p>
    <w:p w14:paraId="371FA895" w14:textId="77777777" w:rsidR="005E5006" w:rsidRDefault="005E5006">
      <w:pPr>
        <w:spacing w:line="242" w:lineRule="exact"/>
        <w:rPr>
          <w:rFonts w:ascii="Times New Roman" w:eastAsia="Times New Roman" w:hAnsi="Times New Roman"/>
        </w:rPr>
      </w:pPr>
    </w:p>
    <w:p w14:paraId="54931AEB" w14:textId="77777777" w:rsidR="005E5006" w:rsidRDefault="005E5006">
      <w:pPr>
        <w:spacing w:line="239" w:lineRule="auto"/>
        <w:ind w:left="4060"/>
        <w:rPr>
          <w:rFonts w:ascii="Times New Roman" w:eastAsia="Times New Roman" w:hAnsi="Times New Roman"/>
        </w:rPr>
      </w:pPr>
      <w:r>
        <w:rPr>
          <w:rFonts w:ascii="Times New Roman" w:eastAsia="Times New Roman" w:hAnsi="Times New Roman"/>
        </w:rPr>
        <w:t>***********************</w:t>
      </w:r>
    </w:p>
    <w:p w14:paraId="2A7C8B74" w14:textId="77777777" w:rsidR="005E5006" w:rsidRDefault="005E5006">
      <w:pPr>
        <w:spacing w:line="252" w:lineRule="exact"/>
        <w:rPr>
          <w:rFonts w:ascii="Times New Roman" w:eastAsia="Times New Roman" w:hAnsi="Times New Roman"/>
        </w:rPr>
      </w:pPr>
    </w:p>
    <w:p w14:paraId="06FEB211" w14:textId="77777777" w:rsidR="005E5006" w:rsidRDefault="005E5006">
      <w:pPr>
        <w:spacing w:line="238" w:lineRule="auto"/>
        <w:ind w:left="900" w:right="320"/>
        <w:jc w:val="both"/>
        <w:rPr>
          <w:rFonts w:ascii="Times New Roman" w:eastAsia="Times New Roman" w:hAnsi="Times New Roman"/>
        </w:rPr>
      </w:pPr>
      <w:r>
        <w:rPr>
          <w:rFonts w:ascii="Times New Roman" w:eastAsia="Times New Roman" w:hAnsi="Times New Roman"/>
        </w:rPr>
        <w:t xml:space="preserve">Access to the meeting room is STRICTLY limited to the EXPERTS of the CDG designated and notified by the EU organisations. Please register them via the electronic registration system of DG AGRI (Portal AWAI </w:t>
      </w:r>
      <w:hyperlink r:id="rId22" w:history="1">
        <w:r>
          <w:rPr>
            <w:rFonts w:ascii="Times New Roman" w:eastAsia="Times New Roman" w:hAnsi="Times New Roman"/>
            <w:color w:val="0000FF"/>
            <w:u w:val="single"/>
          </w:rPr>
          <w:t>https://webgate.ec.europa.eu/agriportal/awaiportal</w:t>
        </w:r>
      </w:hyperlink>
      <w:r>
        <w:rPr>
          <w:rFonts w:ascii="Times New Roman" w:eastAsia="Times New Roman" w:hAnsi="Times New Roman"/>
        </w:rPr>
        <w:t>), at least 3 working days before the meeting. The travelling expenses and a daily allowance are refunded only for the EXPERTS of the group designated by their organisation following the new rules in force since 1</w:t>
      </w:r>
      <w:r>
        <w:rPr>
          <w:rFonts w:ascii="Times New Roman" w:eastAsia="Times New Roman" w:hAnsi="Times New Roman"/>
          <w:sz w:val="25"/>
          <w:vertAlign w:val="superscript"/>
        </w:rPr>
        <w:t>st</w:t>
      </w:r>
      <w:r>
        <w:rPr>
          <w:rFonts w:ascii="Times New Roman" w:eastAsia="Times New Roman" w:hAnsi="Times New Roman"/>
        </w:rPr>
        <w:t xml:space="preserve"> January 2008 (available on CIRCABC).</w:t>
      </w:r>
    </w:p>
    <w:p w14:paraId="7401F03E" w14:textId="77777777" w:rsidR="005E5006" w:rsidRDefault="005E5006">
      <w:pPr>
        <w:spacing w:line="192" w:lineRule="exact"/>
        <w:rPr>
          <w:rFonts w:ascii="Times New Roman" w:eastAsia="Times New Roman" w:hAnsi="Times New Roman"/>
        </w:rPr>
      </w:pPr>
    </w:p>
    <w:p w14:paraId="096A71F6" w14:textId="77777777" w:rsidR="005E5006" w:rsidRDefault="005E5006">
      <w:pPr>
        <w:spacing w:line="236" w:lineRule="auto"/>
        <w:ind w:left="900" w:right="320"/>
        <w:jc w:val="both"/>
        <w:rPr>
          <w:rFonts w:ascii="Times New Roman" w:eastAsia="Times New Roman" w:hAnsi="Times New Roman"/>
          <w:i/>
        </w:rPr>
      </w:pPr>
      <w:r>
        <w:rPr>
          <w:rFonts w:ascii="Times New Roman" w:eastAsia="Times New Roman" w:hAnsi="Times New Roman"/>
          <w:i/>
        </w:rPr>
        <w:t>The experts are requested to present during the meeting a transportation ticket clearly mentioning the price; for electronic tickets without a quoted price, an invoice or a voucher (with an explicit price) is to be furnished.</w:t>
      </w:r>
    </w:p>
    <w:p w14:paraId="53A2B286" w14:textId="77777777" w:rsidR="005E5006" w:rsidRDefault="005E5006">
      <w:pPr>
        <w:spacing w:line="252" w:lineRule="exact"/>
        <w:rPr>
          <w:rFonts w:ascii="Times New Roman" w:eastAsia="Times New Roman" w:hAnsi="Times New Roman"/>
        </w:rPr>
      </w:pPr>
    </w:p>
    <w:p w14:paraId="23A79573" w14:textId="77777777" w:rsidR="005E5006" w:rsidRDefault="005E5006">
      <w:pPr>
        <w:spacing w:line="235" w:lineRule="auto"/>
        <w:ind w:left="900" w:right="320"/>
        <w:jc w:val="both"/>
        <w:rPr>
          <w:rFonts w:ascii="Times New Roman" w:eastAsia="Times New Roman" w:hAnsi="Times New Roman"/>
          <w:i/>
        </w:rPr>
      </w:pPr>
      <w:r>
        <w:rPr>
          <w:rFonts w:ascii="Times New Roman" w:eastAsia="Times New Roman" w:hAnsi="Times New Roman"/>
          <w:i/>
        </w:rPr>
        <w:t>Air travel is only authorized only if the distance between the departure point stated in the invitation and the meeting place is longer than 400 kms or if the journey involves a sea crossing.</w:t>
      </w:r>
    </w:p>
    <w:p w14:paraId="6F1D1D4A" w14:textId="77777777" w:rsidR="005E5006" w:rsidRDefault="005E5006">
      <w:pPr>
        <w:spacing w:line="252" w:lineRule="exact"/>
        <w:rPr>
          <w:rFonts w:ascii="Times New Roman" w:eastAsia="Times New Roman" w:hAnsi="Times New Roman"/>
        </w:rPr>
      </w:pPr>
    </w:p>
    <w:p w14:paraId="4AF988C8" w14:textId="77777777" w:rsidR="005E5006" w:rsidRDefault="005E5006">
      <w:pPr>
        <w:spacing w:line="235" w:lineRule="auto"/>
        <w:ind w:left="900" w:right="320"/>
        <w:jc w:val="both"/>
        <w:rPr>
          <w:rFonts w:ascii="Times New Roman" w:eastAsia="Times New Roman" w:hAnsi="Times New Roman"/>
          <w:b/>
          <w:i/>
        </w:rPr>
      </w:pPr>
      <w:r>
        <w:rPr>
          <w:rFonts w:ascii="Times New Roman" w:eastAsia="Times New Roman" w:hAnsi="Times New Roman"/>
          <w:b/>
          <w:i/>
        </w:rPr>
        <w:t>Air tickets should be booked in economy class, on the basis of the most economical fare available at the moment of the invitation and allowing participation to the meeting and travel during the workweek.</w:t>
      </w:r>
    </w:p>
    <w:p w14:paraId="620145E2" w14:textId="77777777" w:rsidR="005E5006" w:rsidRDefault="005E5006">
      <w:pPr>
        <w:spacing w:line="248" w:lineRule="exact"/>
        <w:rPr>
          <w:rFonts w:ascii="Times New Roman" w:eastAsia="Times New Roman" w:hAnsi="Times New Roman"/>
        </w:rPr>
      </w:pPr>
    </w:p>
    <w:p w14:paraId="65E2D826" w14:textId="77777777" w:rsidR="005E5006" w:rsidRDefault="005E5006">
      <w:pPr>
        <w:spacing w:line="237" w:lineRule="auto"/>
        <w:ind w:left="900" w:right="320"/>
        <w:jc w:val="both"/>
        <w:rPr>
          <w:rFonts w:ascii="Times New Roman" w:eastAsia="Times New Roman" w:hAnsi="Times New Roman"/>
          <w:i/>
        </w:rPr>
      </w:pPr>
      <w:r>
        <w:rPr>
          <w:rFonts w:ascii="Times New Roman" w:eastAsia="Times New Roman" w:hAnsi="Times New Roman"/>
          <w:i/>
        </w:rPr>
        <w:t>If, exceptionally, for reasons beyond the control of experts, seats have to be booked in business class and/or higher rate, the expert must produce with the ticket supporting evidence from the travel agency. Business class tickets will be only partially reimbursed, up to the level of the applicable economy class rate, in case there is no appropriate justification available.</w:t>
      </w:r>
    </w:p>
    <w:p w14:paraId="4A8B1CF8" w14:textId="77777777" w:rsidR="005E5006" w:rsidRDefault="005E5006">
      <w:pPr>
        <w:spacing w:line="253" w:lineRule="exact"/>
        <w:rPr>
          <w:rFonts w:ascii="Times New Roman" w:eastAsia="Times New Roman" w:hAnsi="Times New Roman"/>
        </w:rPr>
      </w:pPr>
    </w:p>
    <w:p w14:paraId="55E336E6" w14:textId="77777777" w:rsidR="005E5006" w:rsidRDefault="005E5006">
      <w:pPr>
        <w:spacing w:line="235" w:lineRule="auto"/>
        <w:ind w:left="900" w:right="320"/>
        <w:jc w:val="both"/>
        <w:rPr>
          <w:rFonts w:ascii="Times New Roman" w:eastAsia="Times New Roman" w:hAnsi="Times New Roman"/>
          <w:b/>
          <w:i/>
        </w:rPr>
      </w:pPr>
      <w:r>
        <w:rPr>
          <w:rFonts w:ascii="Times New Roman" w:eastAsia="Times New Roman" w:hAnsi="Times New Roman"/>
          <w:b/>
          <w:i/>
        </w:rPr>
        <w:t>Participants are recommended to book their air tickets as soon as possible after the reception of the convocation, so as to achieve lower rates.</w:t>
      </w:r>
    </w:p>
    <w:p w14:paraId="08BE0979" w14:textId="77777777" w:rsidR="005E5006" w:rsidRDefault="005E5006">
      <w:pPr>
        <w:spacing w:line="247" w:lineRule="exact"/>
        <w:rPr>
          <w:rFonts w:ascii="Times New Roman" w:eastAsia="Times New Roman" w:hAnsi="Times New Roman"/>
        </w:rPr>
      </w:pPr>
    </w:p>
    <w:p w14:paraId="7D7E1A5B" w14:textId="77777777" w:rsidR="005E5006" w:rsidRDefault="005E5006">
      <w:pPr>
        <w:spacing w:line="237" w:lineRule="auto"/>
        <w:ind w:left="900" w:right="320"/>
        <w:jc w:val="both"/>
        <w:rPr>
          <w:rFonts w:ascii="Times New Roman" w:eastAsia="Times New Roman" w:hAnsi="Times New Roman"/>
          <w:i/>
        </w:rPr>
      </w:pPr>
      <w:r>
        <w:rPr>
          <w:rFonts w:ascii="Times New Roman" w:eastAsia="Times New Roman" w:hAnsi="Times New Roman"/>
          <w:i/>
        </w:rPr>
        <w:t>In compliance with regulation n. 45/2001, the processing of personal data concerning the groups has been notified by the Secretary-General to the data protection officer of the Commission (DPO-2194), as well as CIRCABC (DPO-1008) and AWAI (DPO-1932).</w:t>
      </w:r>
    </w:p>
    <w:p w14:paraId="69C60620" w14:textId="77777777" w:rsidR="005E5006" w:rsidRDefault="005E5006">
      <w:pPr>
        <w:spacing w:line="200" w:lineRule="exact"/>
        <w:rPr>
          <w:rFonts w:ascii="Times New Roman" w:eastAsia="Times New Roman" w:hAnsi="Times New Roman"/>
        </w:rPr>
      </w:pPr>
    </w:p>
    <w:p w14:paraId="6CE5D735" w14:textId="77777777" w:rsidR="005E5006" w:rsidRDefault="005E5006">
      <w:pPr>
        <w:spacing w:line="200" w:lineRule="exact"/>
        <w:rPr>
          <w:rFonts w:ascii="Times New Roman" w:eastAsia="Times New Roman" w:hAnsi="Times New Roman"/>
        </w:rPr>
      </w:pPr>
    </w:p>
    <w:p w14:paraId="487E0770" w14:textId="77777777" w:rsidR="005E5006" w:rsidRDefault="005E5006">
      <w:pPr>
        <w:spacing w:line="200" w:lineRule="exact"/>
        <w:rPr>
          <w:rFonts w:ascii="Times New Roman" w:eastAsia="Times New Roman" w:hAnsi="Times New Roman"/>
        </w:rPr>
      </w:pPr>
    </w:p>
    <w:p w14:paraId="25F01ED8" w14:textId="77777777" w:rsidR="005E5006" w:rsidRDefault="005E5006">
      <w:pPr>
        <w:spacing w:line="350" w:lineRule="exact"/>
        <w:rPr>
          <w:rFonts w:ascii="Times New Roman" w:eastAsia="Times New Roman" w:hAnsi="Times New Roman"/>
        </w:rPr>
      </w:pPr>
    </w:p>
    <w:p w14:paraId="07DBFF11" w14:textId="77777777" w:rsidR="005E5006" w:rsidRDefault="005E5006">
      <w:pPr>
        <w:spacing w:line="0" w:lineRule="atLeast"/>
        <w:ind w:left="5460"/>
        <w:rPr>
          <w:rFonts w:ascii="Arial" w:eastAsia="Arial" w:hAnsi="Arial"/>
          <w:sz w:val="16"/>
        </w:rPr>
      </w:pPr>
      <w:r>
        <w:rPr>
          <w:rFonts w:ascii="Arial" w:eastAsia="Arial" w:hAnsi="Arial"/>
          <w:sz w:val="16"/>
        </w:rPr>
        <w:t>4</w:t>
      </w:r>
    </w:p>
    <w:p w14:paraId="1DD4E44D" w14:textId="77777777" w:rsidR="005E5006" w:rsidRDefault="005E5006">
      <w:pPr>
        <w:spacing w:line="0" w:lineRule="atLeast"/>
        <w:rPr>
          <w:rFonts w:ascii="Arial" w:eastAsia="Arial" w:hAnsi="Arial"/>
          <w:sz w:val="14"/>
        </w:rPr>
      </w:pPr>
      <w:r>
        <w:rPr>
          <w:rFonts w:ascii="Arial" w:eastAsia="Arial" w:hAnsi="Arial"/>
          <w:sz w:val="14"/>
        </w:rPr>
        <w:t>Electronically signed on 23/02/2017 13:07 (UTC+01) in accordance with article 4.2 (Validity of electronic documents) of Commission Decision 2004/563</w:t>
      </w:r>
    </w:p>
    <w:p w14:paraId="0B472F80" w14:textId="0118E50B" w:rsidR="005E5006" w:rsidRDefault="006C510F">
      <w:pPr>
        <w:spacing w:line="20" w:lineRule="exact"/>
        <w:rPr>
          <w:rFonts w:ascii="Times New Roman" w:eastAsia="Times New Roman" w:hAnsi="Times New Roman"/>
        </w:rPr>
      </w:pPr>
      <w:r>
        <w:rPr>
          <w:rFonts w:ascii="Arial" w:eastAsia="Arial" w:hAnsi="Arial"/>
          <w:noProof/>
          <w:sz w:val="14"/>
          <w:lang w:val="fr-BE" w:eastAsia="fr-BE"/>
        </w:rPr>
        <w:drawing>
          <wp:anchor distT="0" distB="0" distL="114300" distR="114300" simplePos="0" relativeHeight="251659776" behindDoc="1" locked="0" layoutInCell="0" allowOverlap="1" wp14:anchorId="76505DF3" wp14:editId="4F79720B">
            <wp:simplePos x="0" y="0"/>
            <wp:positionH relativeFrom="column">
              <wp:posOffset>-215265</wp:posOffset>
            </wp:positionH>
            <wp:positionV relativeFrom="paragraph">
              <wp:posOffset>-74930</wp:posOffset>
            </wp:positionV>
            <wp:extent cx="165100" cy="114300"/>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100" cy="114300"/>
                    </a:xfrm>
                    <a:prstGeom prst="rect">
                      <a:avLst/>
                    </a:prstGeom>
                    <a:noFill/>
                  </pic:spPr>
                </pic:pic>
              </a:graphicData>
            </a:graphic>
            <wp14:sizeRelH relativeFrom="page">
              <wp14:pctWidth>0</wp14:pctWidth>
            </wp14:sizeRelH>
            <wp14:sizeRelV relativeFrom="page">
              <wp14:pctHeight>0</wp14:pctHeight>
            </wp14:sizeRelV>
          </wp:anchor>
        </w:drawing>
      </w:r>
    </w:p>
    <w:sectPr w:rsidR="005E5006">
      <w:pgSz w:w="11900" w:h="16838"/>
      <w:pgMar w:top="1152" w:right="1380" w:bottom="643" w:left="680" w:header="0" w:footer="0" w:gutter="0"/>
      <w:cols w:space="0" w:equalWidth="0">
        <w:col w:w="98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25558EC"/>
    <w:lvl w:ilvl="0" w:tplc="3F002F4A">
      <w:start w:val="1"/>
      <w:numFmt w:val="decimal"/>
      <w:lvlText w:val="%1."/>
      <w:lvlJc w:val="left"/>
    </w:lvl>
    <w:lvl w:ilvl="1" w:tplc="96223190">
      <w:start w:val="1"/>
      <w:numFmt w:val="lowerLetter"/>
      <w:lvlText w:val="%2."/>
      <w:lvlJc w:val="left"/>
    </w:lvl>
    <w:lvl w:ilvl="2" w:tplc="D7D4A2B0">
      <w:start w:val="1"/>
      <w:numFmt w:val="bullet"/>
      <w:lvlText w:val=""/>
      <w:lvlJc w:val="left"/>
    </w:lvl>
    <w:lvl w:ilvl="3" w:tplc="A922EC9A">
      <w:start w:val="1"/>
      <w:numFmt w:val="bullet"/>
      <w:lvlText w:val=""/>
      <w:lvlJc w:val="left"/>
    </w:lvl>
    <w:lvl w:ilvl="4" w:tplc="79621348">
      <w:start w:val="1"/>
      <w:numFmt w:val="bullet"/>
      <w:lvlText w:val=""/>
      <w:lvlJc w:val="left"/>
    </w:lvl>
    <w:lvl w:ilvl="5" w:tplc="31CA5DD2">
      <w:start w:val="1"/>
      <w:numFmt w:val="bullet"/>
      <w:lvlText w:val=""/>
      <w:lvlJc w:val="left"/>
    </w:lvl>
    <w:lvl w:ilvl="6" w:tplc="B1E2C90E">
      <w:start w:val="1"/>
      <w:numFmt w:val="bullet"/>
      <w:lvlText w:val=""/>
      <w:lvlJc w:val="left"/>
    </w:lvl>
    <w:lvl w:ilvl="7" w:tplc="AA761B4A">
      <w:start w:val="1"/>
      <w:numFmt w:val="bullet"/>
      <w:lvlText w:val=""/>
      <w:lvlJc w:val="left"/>
    </w:lvl>
    <w:lvl w:ilvl="8" w:tplc="653C27B2">
      <w:start w:val="1"/>
      <w:numFmt w:val="bullet"/>
      <w:lvlText w:val=""/>
      <w:lvlJc w:val="left"/>
    </w:lvl>
  </w:abstractNum>
  <w:abstractNum w:abstractNumId="1">
    <w:nsid w:val="00000002"/>
    <w:multiLevelType w:val="hybridMultilevel"/>
    <w:tmpl w:val="238E1F28"/>
    <w:lvl w:ilvl="0" w:tplc="EE6091D2">
      <w:start w:val="1"/>
      <w:numFmt w:val="decimal"/>
      <w:lvlText w:val="%1."/>
      <w:lvlJc w:val="left"/>
    </w:lvl>
    <w:lvl w:ilvl="1" w:tplc="A36C1130">
      <w:start w:val="1"/>
      <w:numFmt w:val="bullet"/>
      <w:lvlText w:val=""/>
      <w:lvlJc w:val="left"/>
    </w:lvl>
    <w:lvl w:ilvl="2" w:tplc="AC1E7D5E">
      <w:start w:val="1"/>
      <w:numFmt w:val="bullet"/>
      <w:lvlText w:val=""/>
      <w:lvlJc w:val="left"/>
    </w:lvl>
    <w:lvl w:ilvl="3" w:tplc="E2963336">
      <w:start w:val="1"/>
      <w:numFmt w:val="bullet"/>
      <w:lvlText w:val=""/>
      <w:lvlJc w:val="left"/>
    </w:lvl>
    <w:lvl w:ilvl="4" w:tplc="12C0AF40">
      <w:start w:val="1"/>
      <w:numFmt w:val="bullet"/>
      <w:lvlText w:val=""/>
      <w:lvlJc w:val="left"/>
    </w:lvl>
    <w:lvl w:ilvl="5" w:tplc="C27210DA">
      <w:start w:val="1"/>
      <w:numFmt w:val="bullet"/>
      <w:lvlText w:val=""/>
      <w:lvlJc w:val="left"/>
    </w:lvl>
    <w:lvl w:ilvl="6" w:tplc="B6BCD438">
      <w:start w:val="1"/>
      <w:numFmt w:val="bullet"/>
      <w:lvlText w:val=""/>
      <w:lvlJc w:val="left"/>
    </w:lvl>
    <w:lvl w:ilvl="7" w:tplc="E6222324">
      <w:start w:val="1"/>
      <w:numFmt w:val="bullet"/>
      <w:lvlText w:val=""/>
      <w:lvlJc w:val="left"/>
    </w:lvl>
    <w:lvl w:ilvl="8" w:tplc="7B944C78">
      <w:start w:val="1"/>
      <w:numFmt w:val="bullet"/>
      <w:lvlText w:val=""/>
      <w:lvlJc w:val="left"/>
    </w:lvl>
  </w:abstractNum>
  <w:abstractNum w:abstractNumId="2">
    <w:nsid w:val="00000003"/>
    <w:multiLevelType w:val="hybridMultilevel"/>
    <w:tmpl w:val="46E87CCC"/>
    <w:lvl w:ilvl="0" w:tplc="1334EF72">
      <w:start w:val="2"/>
      <w:numFmt w:val="decimal"/>
      <w:lvlText w:val="%1."/>
      <w:lvlJc w:val="left"/>
    </w:lvl>
    <w:lvl w:ilvl="1" w:tplc="A112B836">
      <w:start w:val="1"/>
      <w:numFmt w:val="bullet"/>
      <w:lvlText w:val=""/>
      <w:lvlJc w:val="left"/>
    </w:lvl>
    <w:lvl w:ilvl="2" w:tplc="87648042">
      <w:start w:val="1"/>
      <w:numFmt w:val="bullet"/>
      <w:lvlText w:val=""/>
      <w:lvlJc w:val="left"/>
    </w:lvl>
    <w:lvl w:ilvl="3" w:tplc="DA988F06">
      <w:start w:val="1"/>
      <w:numFmt w:val="bullet"/>
      <w:lvlText w:val=""/>
      <w:lvlJc w:val="left"/>
    </w:lvl>
    <w:lvl w:ilvl="4" w:tplc="6106BF6E">
      <w:start w:val="1"/>
      <w:numFmt w:val="bullet"/>
      <w:lvlText w:val=""/>
      <w:lvlJc w:val="left"/>
    </w:lvl>
    <w:lvl w:ilvl="5" w:tplc="9976E31E">
      <w:start w:val="1"/>
      <w:numFmt w:val="bullet"/>
      <w:lvlText w:val=""/>
      <w:lvlJc w:val="left"/>
    </w:lvl>
    <w:lvl w:ilvl="6" w:tplc="7CECC5EC">
      <w:start w:val="1"/>
      <w:numFmt w:val="bullet"/>
      <w:lvlText w:val=""/>
      <w:lvlJc w:val="left"/>
    </w:lvl>
    <w:lvl w:ilvl="7" w:tplc="69A2089A">
      <w:start w:val="1"/>
      <w:numFmt w:val="bullet"/>
      <w:lvlText w:val=""/>
      <w:lvlJc w:val="left"/>
    </w:lvl>
    <w:lvl w:ilvl="8" w:tplc="4A225466">
      <w:start w:val="1"/>
      <w:numFmt w:val="bullet"/>
      <w:lvlText w:val=""/>
      <w:lvlJc w:val="left"/>
    </w:lvl>
  </w:abstractNum>
  <w:abstractNum w:abstractNumId="3">
    <w:nsid w:val="00000004"/>
    <w:multiLevelType w:val="hybridMultilevel"/>
    <w:tmpl w:val="3D1B58BA"/>
    <w:lvl w:ilvl="0" w:tplc="C86C5928">
      <w:start w:val="6"/>
      <w:numFmt w:val="decimal"/>
      <w:lvlText w:val="%1."/>
      <w:lvlJc w:val="left"/>
    </w:lvl>
    <w:lvl w:ilvl="1" w:tplc="E35E27B8">
      <w:start w:val="1"/>
      <w:numFmt w:val="lowerLetter"/>
      <w:lvlText w:val="%2."/>
      <w:lvlJc w:val="left"/>
    </w:lvl>
    <w:lvl w:ilvl="2" w:tplc="294EE748">
      <w:start w:val="1"/>
      <w:numFmt w:val="bullet"/>
      <w:lvlText w:val=""/>
      <w:lvlJc w:val="left"/>
    </w:lvl>
    <w:lvl w:ilvl="3" w:tplc="466E459E">
      <w:start w:val="1"/>
      <w:numFmt w:val="bullet"/>
      <w:lvlText w:val=""/>
      <w:lvlJc w:val="left"/>
    </w:lvl>
    <w:lvl w:ilvl="4" w:tplc="39C4A5FC">
      <w:start w:val="1"/>
      <w:numFmt w:val="bullet"/>
      <w:lvlText w:val=""/>
      <w:lvlJc w:val="left"/>
    </w:lvl>
    <w:lvl w:ilvl="5" w:tplc="5DCAA1E4">
      <w:start w:val="1"/>
      <w:numFmt w:val="bullet"/>
      <w:lvlText w:val=""/>
      <w:lvlJc w:val="left"/>
    </w:lvl>
    <w:lvl w:ilvl="6" w:tplc="3780B3D2">
      <w:start w:val="1"/>
      <w:numFmt w:val="bullet"/>
      <w:lvlText w:val=""/>
      <w:lvlJc w:val="left"/>
    </w:lvl>
    <w:lvl w:ilvl="7" w:tplc="19A8951C">
      <w:start w:val="1"/>
      <w:numFmt w:val="bullet"/>
      <w:lvlText w:val=""/>
      <w:lvlJc w:val="left"/>
    </w:lvl>
    <w:lvl w:ilvl="8" w:tplc="F5986E48">
      <w:start w:val="1"/>
      <w:numFmt w:val="bullet"/>
      <w:lvlText w:val=""/>
      <w:lvlJc w:val="left"/>
    </w:lvl>
  </w:abstractNum>
  <w:abstractNum w:abstractNumId="4">
    <w:nsid w:val="00000005"/>
    <w:multiLevelType w:val="hybridMultilevel"/>
    <w:tmpl w:val="507ED7AA"/>
    <w:lvl w:ilvl="0" w:tplc="6BE49EEC">
      <w:start w:val="1"/>
      <w:numFmt w:val="decimal"/>
      <w:lvlText w:val="%1."/>
      <w:lvlJc w:val="left"/>
    </w:lvl>
    <w:lvl w:ilvl="1" w:tplc="5A04AD72">
      <w:start w:val="1"/>
      <w:numFmt w:val="lowerLetter"/>
      <w:lvlText w:val="%2."/>
      <w:lvlJc w:val="left"/>
    </w:lvl>
    <w:lvl w:ilvl="2" w:tplc="72EE6DA2">
      <w:start w:val="1"/>
      <w:numFmt w:val="bullet"/>
      <w:lvlText w:val=""/>
      <w:lvlJc w:val="left"/>
    </w:lvl>
    <w:lvl w:ilvl="3" w:tplc="59C2F18A">
      <w:start w:val="1"/>
      <w:numFmt w:val="bullet"/>
      <w:lvlText w:val=""/>
      <w:lvlJc w:val="left"/>
    </w:lvl>
    <w:lvl w:ilvl="4" w:tplc="DF5ECB0A">
      <w:start w:val="1"/>
      <w:numFmt w:val="bullet"/>
      <w:lvlText w:val=""/>
      <w:lvlJc w:val="left"/>
    </w:lvl>
    <w:lvl w:ilvl="5" w:tplc="B5B8EA40">
      <w:start w:val="1"/>
      <w:numFmt w:val="bullet"/>
      <w:lvlText w:val=""/>
      <w:lvlJc w:val="left"/>
    </w:lvl>
    <w:lvl w:ilvl="6" w:tplc="4B6CF8E8">
      <w:start w:val="1"/>
      <w:numFmt w:val="bullet"/>
      <w:lvlText w:val=""/>
      <w:lvlJc w:val="left"/>
    </w:lvl>
    <w:lvl w:ilvl="7" w:tplc="A65CCAEC">
      <w:start w:val="1"/>
      <w:numFmt w:val="bullet"/>
      <w:lvlText w:val=""/>
      <w:lvlJc w:val="left"/>
    </w:lvl>
    <w:lvl w:ilvl="8" w:tplc="6FC8C83C">
      <w:start w:val="1"/>
      <w:numFmt w:val="bullet"/>
      <w:lvlText w:val=""/>
      <w:lvlJc w:val="left"/>
    </w:lvl>
  </w:abstractNum>
  <w:abstractNum w:abstractNumId="5">
    <w:nsid w:val="00000006"/>
    <w:multiLevelType w:val="hybridMultilevel"/>
    <w:tmpl w:val="2EB141F2"/>
    <w:lvl w:ilvl="0" w:tplc="079658AC">
      <w:start w:val="4"/>
      <w:numFmt w:val="decimal"/>
      <w:lvlText w:val="%1."/>
      <w:lvlJc w:val="left"/>
    </w:lvl>
    <w:lvl w:ilvl="1" w:tplc="487065D8">
      <w:start w:val="1"/>
      <w:numFmt w:val="bullet"/>
      <w:lvlText w:val=""/>
      <w:lvlJc w:val="left"/>
    </w:lvl>
    <w:lvl w:ilvl="2" w:tplc="8F567B36">
      <w:start w:val="1"/>
      <w:numFmt w:val="bullet"/>
      <w:lvlText w:val=""/>
      <w:lvlJc w:val="left"/>
    </w:lvl>
    <w:lvl w:ilvl="3" w:tplc="4174929C">
      <w:start w:val="1"/>
      <w:numFmt w:val="bullet"/>
      <w:lvlText w:val=""/>
      <w:lvlJc w:val="left"/>
    </w:lvl>
    <w:lvl w:ilvl="4" w:tplc="CD5031B6">
      <w:start w:val="1"/>
      <w:numFmt w:val="bullet"/>
      <w:lvlText w:val=""/>
      <w:lvlJc w:val="left"/>
    </w:lvl>
    <w:lvl w:ilvl="5" w:tplc="8938C00A">
      <w:start w:val="1"/>
      <w:numFmt w:val="bullet"/>
      <w:lvlText w:val=""/>
      <w:lvlJc w:val="left"/>
    </w:lvl>
    <w:lvl w:ilvl="6" w:tplc="BF781ACC">
      <w:start w:val="1"/>
      <w:numFmt w:val="bullet"/>
      <w:lvlText w:val=""/>
      <w:lvlJc w:val="left"/>
    </w:lvl>
    <w:lvl w:ilvl="7" w:tplc="4F7CD842">
      <w:start w:val="1"/>
      <w:numFmt w:val="bullet"/>
      <w:lvlText w:val=""/>
      <w:lvlJc w:val="left"/>
    </w:lvl>
    <w:lvl w:ilvl="8" w:tplc="E494B4AC">
      <w:start w:val="1"/>
      <w:numFmt w:val="bullet"/>
      <w:lvlText w:val=""/>
      <w:lvlJc w:val="left"/>
    </w:lvl>
  </w:abstractNum>
  <w:abstractNum w:abstractNumId="6">
    <w:nsid w:val="00000007"/>
    <w:multiLevelType w:val="hybridMultilevel"/>
    <w:tmpl w:val="41B71EFA"/>
    <w:lvl w:ilvl="0" w:tplc="13CCE504">
      <w:start w:val="6"/>
      <w:numFmt w:val="decimal"/>
      <w:lvlText w:val="%1."/>
      <w:lvlJc w:val="left"/>
    </w:lvl>
    <w:lvl w:ilvl="1" w:tplc="82321F80">
      <w:start w:val="1"/>
      <w:numFmt w:val="lowerLetter"/>
      <w:lvlText w:val="%2."/>
      <w:lvlJc w:val="left"/>
    </w:lvl>
    <w:lvl w:ilvl="2" w:tplc="C1A0B154">
      <w:start w:val="1"/>
      <w:numFmt w:val="bullet"/>
      <w:lvlText w:val=""/>
      <w:lvlJc w:val="left"/>
    </w:lvl>
    <w:lvl w:ilvl="3" w:tplc="7556CA06">
      <w:start w:val="1"/>
      <w:numFmt w:val="bullet"/>
      <w:lvlText w:val=""/>
      <w:lvlJc w:val="left"/>
    </w:lvl>
    <w:lvl w:ilvl="4" w:tplc="DCA687EE">
      <w:start w:val="1"/>
      <w:numFmt w:val="bullet"/>
      <w:lvlText w:val=""/>
      <w:lvlJc w:val="left"/>
    </w:lvl>
    <w:lvl w:ilvl="5" w:tplc="336C26B0">
      <w:start w:val="1"/>
      <w:numFmt w:val="bullet"/>
      <w:lvlText w:val=""/>
      <w:lvlJc w:val="left"/>
    </w:lvl>
    <w:lvl w:ilvl="6" w:tplc="A4E0D3F0">
      <w:start w:val="1"/>
      <w:numFmt w:val="bullet"/>
      <w:lvlText w:val=""/>
      <w:lvlJc w:val="left"/>
    </w:lvl>
    <w:lvl w:ilvl="7" w:tplc="16DEA82E">
      <w:start w:val="1"/>
      <w:numFmt w:val="bullet"/>
      <w:lvlText w:val=""/>
      <w:lvlJc w:val="left"/>
    </w:lvl>
    <w:lvl w:ilvl="8" w:tplc="8B6E86BC">
      <w:start w:val="1"/>
      <w:numFmt w:val="bullet"/>
      <w:lvlText w:val=""/>
      <w:lvlJc w:val="left"/>
    </w:lvl>
  </w:abstractNum>
  <w:abstractNum w:abstractNumId="7">
    <w:nsid w:val="02383E58"/>
    <w:multiLevelType w:val="hybridMultilevel"/>
    <w:tmpl w:val="75E68D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3F63692"/>
    <w:multiLevelType w:val="hybridMultilevel"/>
    <w:tmpl w:val="8B9082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0B60FB"/>
    <w:multiLevelType w:val="hybridMultilevel"/>
    <w:tmpl w:val="44A835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615683"/>
    <w:multiLevelType w:val="hybridMultilevel"/>
    <w:tmpl w:val="515454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94523A"/>
    <w:multiLevelType w:val="hybridMultilevel"/>
    <w:tmpl w:val="B1F8071A"/>
    <w:lvl w:ilvl="0" w:tplc="C2A2368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28E2804"/>
    <w:multiLevelType w:val="hybridMultilevel"/>
    <w:tmpl w:val="18EED7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566CDD"/>
    <w:multiLevelType w:val="hybridMultilevel"/>
    <w:tmpl w:val="474207CE"/>
    <w:lvl w:ilvl="0" w:tplc="3A2619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40664C"/>
    <w:multiLevelType w:val="hybridMultilevel"/>
    <w:tmpl w:val="978E9D02"/>
    <w:lvl w:ilvl="0" w:tplc="34E0CFF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5D00619"/>
    <w:multiLevelType w:val="hybridMultilevel"/>
    <w:tmpl w:val="57B64374"/>
    <w:lvl w:ilvl="0" w:tplc="04090005">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3C7D7F"/>
    <w:multiLevelType w:val="hybridMultilevel"/>
    <w:tmpl w:val="8E1A22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B8523B"/>
    <w:multiLevelType w:val="hybridMultilevel"/>
    <w:tmpl w:val="1AA21E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CF11B3"/>
    <w:multiLevelType w:val="hybridMultilevel"/>
    <w:tmpl w:val="B87846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3A1295"/>
    <w:multiLevelType w:val="hybridMultilevel"/>
    <w:tmpl w:val="190408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B71495"/>
    <w:multiLevelType w:val="hybridMultilevel"/>
    <w:tmpl w:val="2C94B0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8651B7"/>
    <w:multiLevelType w:val="hybridMultilevel"/>
    <w:tmpl w:val="34D8A4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525964"/>
    <w:multiLevelType w:val="hybridMultilevel"/>
    <w:tmpl w:val="C6D0C6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7"/>
  </w:num>
  <w:num w:numId="10">
    <w:abstractNumId w:val="13"/>
  </w:num>
  <w:num w:numId="11">
    <w:abstractNumId w:val="10"/>
  </w:num>
  <w:num w:numId="12">
    <w:abstractNumId w:val="12"/>
  </w:num>
  <w:num w:numId="13">
    <w:abstractNumId w:val="8"/>
  </w:num>
  <w:num w:numId="14">
    <w:abstractNumId w:val="9"/>
  </w:num>
  <w:num w:numId="15">
    <w:abstractNumId w:val="19"/>
  </w:num>
  <w:num w:numId="16">
    <w:abstractNumId w:val="16"/>
  </w:num>
  <w:num w:numId="17">
    <w:abstractNumId w:val="20"/>
  </w:num>
  <w:num w:numId="18">
    <w:abstractNumId w:val="21"/>
  </w:num>
  <w:num w:numId="19">
    <w:abstractNumId w:val="18"/>
  </w:num>
  <w:num w:numId="20">
    <w:abstractNumId w:val="11"/>
  </w:num>
  <w:num w:numId="21">
    <w:abstractNumId w:val="15"/>
  </w:num>
  <w:num w:numId="22">
    <w:abstractNumId w:val="1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FCE"/>
    <w:rsid w:val="00011DA3"/>
    <w:rsid w:val="00025532"/>
    <w:rsid w:val="000774E1"/>
    <w:rsid w:val="00083FCE"/>
    <w:rsid w:val="000A4539"/>
    <w:rsid w:val="000C3295"/>
    <w:rsid w:val="00107176"/>
    <w:rsid w:val="001762B9"/>
    <w:rsid w:val="001A30A6"/>
    <w:rsid w:val="001E6BC8"/>
    <w:rsid w:val="001F06D5"/>
    <w:rsid w:val="00247172"/>
    <w:rsid w:val="00252C41"/>
    <w:rsid w:val="00255612"/>
    <w:rsid w:val="00263168"/>
    <w:rsid w:val="00282CEF"/>
    <w:rsid w:val="002A1082"/>
    <w:rsid w:val="002B6984"/>
    <w:rsid w:val="00305184"/>
    <w:rsid w:val="0032096D"/>
    <w:rsid w:val="003A2531"/>
    <w:rsid w:val="003E2F9B"/>
    <w:rsid w:val="003F7496"/>
    <w:rsid w:val="00400FD8"/>
    <w:rsid w:val="00421A3B"/>
    <w:rsid w:val="00436450"/>
    <w:rsid w:val="004A2210"/>
    <w:rsid w:val="004A2F7C"/>
    <w:rsid w:val="004F48AB"/>
    <w:rsid w:val="00510646"/>
    <w:rsid w:val="00574419"/>
    <w:rsid w:val="00592B63"/>
    <w:rsid w:val="005E5006"/>
    <w:rsid w:val="005F67BA"/>
    <w:rsid w:val="00605DCC"/>
    <w:rsid w:val="00667EAD"/>
    <w:rsid w:val="00674481"/>
    <w:rsid w:val="006C510F"/>
    <w:rsid w:val="006D5102"/>
    <w:rsid w:val="0071347E"/>
    <w:rsid w:val="007553BD"/>
    <w:rsid w:val="007832B3"/>
    <w:rsid w:val="0079092C"/>
    <w:rsid w:val="007A275B"/>
    <w:rsid w:val="008206A9"/>
    <w:rsid w:val="00830835"/>
    <w:rsid w:val="008362AC"/>
    <w:rsid w:val="008671A7"/>
    <w:rsid w:val="00877460"/>
    <w:rsid w:val="00890C25"/>
    <w:rsid w:val="008B10D0"/>
    <w:rsid w:val="008B75E7"/>
    <w:rsid w:val="008D6772"/>
    <w:rsid w:val="00983519"/>
    <w:rsid w:val="009E166F"/>
    <w:rsid w:val="00A11A48"/>
    <w:rsid w:val="00A40D99"/>
    <w:rsid w:val="00A50D7E"/>
    <w:rsid w:val="00A843B1"/>
    <w:rsid w:val="00AC6F32"/>
    <w:rsid w:val="00B31D4D"/>
    <w:rsid w:val="00B72ABA"/>
    <w:rsid w:val="00B8416F"/>
    <w:rsid w:val="00C027B2"/>
    <w:rsid w:val="00C27523"/>
    <w:rsid w:val="00C7712F"/>
    <w:rsid w:val="00CA5A39"/>
    <w:rsid w:val="00D023D7"/>
    <w:rsid w:val="00D165D1"/>
    <w:rsid w:val="00D21985"/>
    <w:rsid w:val="00D56C8E"/>
    <w:rsid w:val="00D64650"/>
    <w:rsid w:val="00D861D8"/>
    <w:rsid w:val="00D9102E"/>
    <w:rsid w:val="00DA5B8A"/>
    <w:rsid w:val="00DB47C3"/>
    <w:rsid w:val="00DB5678"/>
    <w:rsid w:val="00DC6CB5"/>
    <w:rsid w:val="00E27AC7"/>
    <w:rsid w:val="00E97E7A"/>
    <w:rsid w:val="00EA4658"/>
    <w:rsid w:val="00EE4EBB"/>
    <w:rsid w:val="00EF7855"/>
    <w:rsid w:val="00F137DE"/>
    <w:rsid w:val="00F1671B"/>
    <w:rsid w:val="00FC2741"/>
    <w:rsid w:val="00FC49AB"/>
    <w:rsid w:val="00FE5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265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4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210"/>
    <w:pPr>
      <w:ind w:left="720"/>
    </w:pPr>
  </w:style>
  <w:style w:type="table" w:styleId="TableGrid">
    <w:name w:val="Table Grid"/>
    <w:basedOn w:val="TableNormal"/>
    <w:uiPriority w:val="59"/>
    <w:rsid w:val="004A2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2210"/>
    <w:rPr>
      <w:color w:val="0563C1" w:themeColor="hyperlink"/>
      <w:u w:val="single"/>
    </w:rPr>
  </w:style>
  <w:style w:type="character" w:styleId="CommentReference">
    <w:name w:val="annotation reference"/>
    <w:basedOn w:val="DefaultParagraphFont"/>
    <w:uiPriority w:val="99"/>
    <w:semiHidden/>
    <w:unhideWhenUsed/>
    <w:rsid w:val="00EE4EBB"/>
    <w:rPr>
      <w:sz w:val="16"/>
      <w:szCs w:val="16"/>
    </w:rPr>
  </w:style>
  <w:style w:type="paragraph" w:styleId="CommentText">
    <w:name w:val="annotation text"/>
    <w:basedOn w:val="Normal"/>
    <w:link w:val="CommentTextChar"/>
    <w:uiPriority w:val="99"/>
    <w:semiHidden/>
    <w:unhideWhenUsed/>
    <w:rsid w:val="00EE4EBB"/>
  </w:style>
  <w:style w:type="character" w:customStyle="1" w:styleId="CommentTextChar">
    <w:name w:val="Comment Text Char"/>
    <w:basedOn w:val="DefaultParagraphFont"/>
    <w:link w:val="CommentText"/>
    <w:uiPriority w:val="99"/>
    <w:semiHidden/>
    <w:rsid w:val="00EE4EBB"/>
  </w:style>
  <w:style w:type="paragraph" w:styleId="CommentSubject">
    <w:name w:val="annotation subject"/>
    <w:basedOn w:val="CommentText"/>
    <w:next w:val="CommentText"/>
    <w:link w:val="CommentSubjectChar"/>
    <w:uiPriority w:val="99"/>
    <w:semiHidden/>
    <w:unhideWhenUsed/>
    <w:rsid w:val="00EE4EBB"/>
    <w:rPr>
      <w:b/>
      <w:bCs/>
    </w:rPr>
  </w:style>
  <w:style w:type="character" w:customStyle="1" w:styleId="CommentSubjectChar">
    <w:name w:val="Comment Subject Char"/>
    <w:basedOn w:val="CommentTextChar"/>
    <w:link w:val="CommentSubject"/>
    <w:uiPriority w:val="99"/>
    <w:semiHidden/>
    <w:rsid w:val="00EE4EBB"/>
    <w:rPr>
      <w:b/>
      <w:bCs/>
    </w:rPr>
  </w:style>
  <w:style w:type="paragraph" w:styleId="BalloonText">
    <w:name w:val="Balloon Text"/>
    <w:basedOn w:val="Normal"/>
    <w:link w:val="BalloonTextChar"/>
    <w:uiPriority w:val="99"/>
    <w:semiHidden/>
    <w:unhideWhenUsed/>
    <w:rsid w:val="00EE4E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EBB"/>
    <w:rPr>
      <w:rFonts w:ascii="Segoe UI" w:hAnsi="Segoe UI" w:cs="Segoe UI"/>
      <w:sz w:val="18"/>
      <w:szCs w:val="18"/>
    </w:rPr>
  </w:style>
  <w:style w:type="character" w:styleId="FollowedHyperlink">
    <w:name w:val="FollowedHyperlink"/>
    <w:basedOn w:val="DefaultParagraphFont"/>
    <w:uiPriority w:val="99"/>
    <w:semiHidden/>
    <w:unhideWhenUsed/>
    <w:rsid w:val="00B31D4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4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210"/>
    <w:pPr>
      <w:ind w:left="720"/>
    </w:pPr>
  </w:style>
  <w:style w:type="table" w:styleId="TableGrid">
    <w:name w:val="Table Grid"/>
    <w:basedOn w:val="TableNormal"/>
    <w:uiPriority w:val="59"/>
    <w:rsid w:val="004A2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2210"/>
    <w:rPr>
      <w:color w:val="0563C1" w:themeColor="hyperlink"/>
      <w:u w:val="single"/>
    </w:rPr>
  </w:style>
  <w:style w:type="character" w:styleId="CommentReference">
    <w:name w:val="annotation reference"/>
    <w:basedOn w:val="DefaultParagraphFont"/>
    <w:uiPriority w:val="99"/>
    <w:semiHidden/>
    <w:unhideWhenUsed/>
    <w:rsid w:val="00EE4EBB"/>
    <w:rPr>
      <w:sz w:val="16"/>
      <w:szCs w:val="16"/>
    </w:rPr>
  </w:style>
  <w:style w:type="paragraph" w:styleId="CommentText">
    <w:name w:val="annotation text"/>
    <w:basedOn w:val="Normal"/>
    <w:link w:val="CommentTextChar"/>
    <w:uiPriority w:val="99"/>
    <w:semiHidden/>
    <w:unhideWhenUsed/>
    <w:rsid w:val="00EE4EBB"/>
  </w:style>
  <w:style w:type="character" w:customStyle="1" w:styleId="CommentTextChar">
    <w:name w:val="Comment Text Char"/>
    <w:basedOn w:val="DefaultParagraphFont"/>
    <w:link w:val="CommentText"/>
    <w:uiPriority w:val="99"/>
    <w:semiHidden/>
    <w:rsid w:val="00EE4EBB"/>
  </w:style>
  <w:style w:type="paragraph" w:styleId="CommentSubject">
    <w:name w:val="annotation subject"/>
    <w:basedOn w:val="CommentText"/>
    <w:next w:val="CommentText"/>
    <w:link w:val="CommentSubjectChar"/>
    <w:uiPriority w:val="99"/>
    <w:semiHidden/>
    <w:unhideWhenUsed/>
    <w:rsid w:val="00EE4EBB"/>
    <w:rPr>
      <w:b/>
      <w:bCs/>
    </w:rPr>
  </w:style>
  <w:style w:type="character" w:customStyle="1" w:styleId="CommentSubjectChar">
    <w:name w:val="Comment Subject Char"/>
    <w:basedOn w:val="CommentTextChar"/>
    <w:link w:val="CommentSubject"/>
    <w:uiPriority w:val="99"/>
    <w:semiHidden/>
    <w:rsid w:val="00EE4EBB"/>
    <w:rPr>
      <w:b/>
      <w:bCs/>
    </w:rPr>
  </w:style>
  <w:style w:type="paragraph" w:styleId="BalloonText">
    <w:name w:val="Balloon Text"/>
    <w:basedOn w:val="Normal"/>
    <w:link w:val="BalloonTextChar"/>
    <w:uiPriority w:val="99"/>
    <w:semiHidden/>
    <w:unhideWhenUsed/>
    <w:rsid w:val="00EE4E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EBB"/>
    <w:rPr>
      <w:rFonts w:ascii="Segoe UI" w:hAnsi="Segoe UI" w:cs="Segoe UI"/>
      <w:sz w:val="18"/>
      <w:szCs w:val="18"/>
    </w:rPr>
  </w:style>
  <w:style w:type="character" w:styleId="FollowedHyperlink">
    <w:name w:val="FollowedHyperlink"/>
    <w:basedOn w:val="DefaultParagraphFont"/>
    <w:uiPriority w:val="99"/>
    <w:semiHidden/>
    <w:unhideWhenUsed/>
    <w:rsid w:val="00B31D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2023">
      <w:bodyDiv w:val="1"/>
      <w:marLeft w:val="0"/>
      <w:marRight w:val="0"/>
      <w:marTop w:val="0"/>
      <w:marBottom w:val="0"/>
      <w:divBdr>
        <w:top w:val="none" w:sz="0" w:space="0" w:color="auto"/>
        <w:left w:val="none" w:sz="0" w:space="0" w:color="auto"/>
        <w:bottom w:val="none" w:sz="0" w:space="0" w:color="auto"/>
        <w:right w:val="none" w:sz="0" w:space="0" w:color="auto"/>
      </w:divBdr>
    </w:div>
    <w:div w:id="204062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eesc.europa.eu/resources/docs/qe-02-17-158-en-n.pdf" TargetMode="External"/><Relationship Id="rId18" Type="http://schemas.openxmlformats.org/officeDocument/2006/relationships/hyperlink" Target="http://europa.eu/rapid/press-release_IP-17-339_en.htm" TargetMode="External"/><Relationship Id="rId3" Type="http://schemas.microsoft.com/office/2007/relationships/stylesWithEffects" Target="stylesWithEffects.xml"/><Relationship Id="rId21" Type="http://schemas.openxmlformats.org/officeDocument/2006/relationships/hyperlink" Target="https://webgate.ec.europa.eu/agriportal/awaiportal" TargetMode="External"/><Relationship Id="rId7" Type="http://schemas.openxmlformats.org/officeDocument/2006/relationships/image" Target="media/image2.jpeg"/><Relationship Id="rId12" Type="http://schemas.openxmlformats.org/officeDocument/2006/relationships/hyperlink" Target="http://memberspage.eesc.europa.eu/Search/Details/Person/2021229" TargetMode="External"/><Relationship Id="rId17" Type="http://schemas.openxmlformats.org/officeDocument/2006/relationships/hyperlink" Target="https://ec.europa.eu/agriculture/external-studies/2016-bilateral-trade-agreements_en" TargetMode="External"/><Relationship Id="rId2" Type="http://schemas.openxmlformats.org/officeDocument/2006/relationships/styles" Target="styles.xml"/><Relationship Id="rId16" Type="http://schemas.openxmlformats.org/officeDocument/2006/relationships/hyperlink" Target="https://ec.europa.eu/agriculture/newsroom/331_en" TargetMode="Externa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ec.europa.eu/agriculture/events/commissioner-phil-hogan-official-visit-canada-1-452017_e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nternational.gc.ca/gac-amc/campaign-campagne/ceta-aecg/find_your_tariff_rate-trouvez_votre_taux_tarifaire.aspx?lang=eng" TargetMode="External"/><Relationship Id="rId23" Type="http://schemas.openxmlformats.org/officeDocument/2006/relationships/fontTable" Target="fontTable.xml"/><Relationship Id="rId10" Type="http://schemas.openxmlformats.org/officeDocument/2006/relationships/hyperlink" Target="https://ec.europa.eu/agriculture/sites/agriculture/files/trade-analysis/monitoring-agri-food-trade/2016-12_en.pdf" TargetMode="External"/><Relationship Id="rId19" Type="http://schemas.openxmlformats.org/officeDocument/2006/relationships/hyperlink" Target="http://europa.eu/rapid/press-release_MEMO-17-340_en.htm" TargetMode="External"/><Relationship Id="rId4" Type="http://schemas.openxmlformats.org/officeDocument/2006/relationships/settings" Target="settings.xml"/><Relationship Id="rId9" Type="http://schemas.openxmlformats.org/officeDocument/2006/relationships/hyperlink" Target="https://ec.europa.eu/agriculture/newsroom/330_en" TargetMode="External"/><Relationship Id="rId14" Type="http://schemas.openxmlformats.org/officeDocument/2006/relationships/hyperlink" Target="http://www.eesc.europa.eu/?i=portal.en.nat-opinions.35264" TargetMode="External"/><Relationship Id="rId22" Type="http://schemas.openxmlformats.org/officeDocument/2006/relationships/hyperlink" Target="https://webgate.ec.europa.eu/agriportal/awaipor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2233</Words>
  <Characters>12286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14491</CharactersWithSpaces>
  <SharedDoc>false</SharedDoc>
  <HLinks>
    <vt:vector size="12" baseType="variant">
      <vt:variant>
        <vt:i4>2097201</vt:i4>
      </vt:variant>
      <vt:variant>
        <vt:i4>3</vt:i4>
      </vt:variant>
      <vt:variant>
        <vt:i4>0</vt:i4>
      </vt:variant>
      <vt:variant>
        <vt:i4>5</vt:i4>
      </vt:variant>
      <vt:variant>
        <vt:lpwstr>https://webgate.ec.europa.eu/agriportal/awaiportal</vt:lpwstr>
      </vt:variant>
      <vt:variant>
        <vt:lpwstr/>
      </vt:variant>
      <vt:variant>
        <vt:i4>2097201</vt:i4>
      </vt:variant>
      <vt:variant>
        <vt:i4>0</vt:i4>
      </vt:variant>
      <vt:variant>
        <vt:i4>0</vt:i4>
      </vt:variant>
      <vt:variant>
        <vt:i4>5</vt:i4>
      </vt:variant>
      <vt:variant>
        <vt:lpwstr>https://webgate.ec.europa.eu/agriportal/awaiportal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Hinzen</dc:creator>
  <cp:keywords/>
  <cp:lastModifiedBy>Windows User</cp:lastModifiedBy>
  <cp:revision>2</cp:revision>
  <dcterms:created xsi:type="dcterms:W3CDTF">2017-03-10T21:01:00Z</dcterms:created>
  <dcterms:modified xsi:type="dcterms:W3CDTF">2017-03-10T21:01:00Z</dcterms:modified>
</cp:coreProperties>
</file>