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7CF" w:rsidRPr="00D238B4" w:rsidRDefault="00E357CF" w:rsidP="00E357CF">
      <w:pPr>
        <w:jc w:val="center"/>
        <w:rPr>
          <w:b/>
          <w:lang w:val="en-IE"/>
        </w:rPr>
      </w:pPr>
      <w:r>
        <w:rPr>
          <w:b/>
          <w:lang w:val="en-IE"/>
        </w:rPr>
        <w:t xml:space="preserve">Draft </w:t>
      </w:r>
      <w:r w:rsidRPr="00D238B4">
        <w:rPr>
          <w:b/>
          <w:lang w:val="en-IE"/>
        </w:rPr>
        <w:t>FoodDrinkEurope Position Paper on Regulation (EC) No 17</w:t>
      </w:r>
      <w:r>
        <w:rPr>
          <w:b/>
          <w:lang w:val="en-IE"/>
        </w:rPr>
        <w:t>8</w:t>
      </w:r>
      <w:r w:rsidRPr="00D238B4">
        <w:rPr>
          <w:b/>
          <w:lang w:val="en-IE"/>
        </w:rPr>
        <w:t>/2002 - General Food Law (GFL) on the 15</w:t>
      </w:r>
      <w:r w:rsidRPr="00D238B4">
        <w:rPr>
          <w:b/>
          <w:vertAlign w:val="superscript"/>
          <w:lang w:val="en-IE"/>
        </w:rPr>
        <w:t>th</w:t>
      </w:r>
      <w:r w:rsidRPr="00D238B4">
        <w:rPr>
          <w:b/>
          <w:lang w:val="en-IE"/>
        </w:rPr>
        <w:t xml:space="preserve"> anniversary of its entrance into law</w:t>
      </w:r>
    </w:p>
    <w:p w:rsidR="00E357CF" w:rsidRPr="00D238B4" w:rsidRDefault="00E357CF" w:rsidP="00E357CF">
      <w:pPr>
        <w:spacing w:line="360" w:lineRule="auto"/>
        <w:rPr>
          <w:lang w:val="en-IE"/>
        </w:rPr>
      </w:pPr>
    </w:p>
    <w:p w:rsidR="00E357CF" w:rsidRDefault="00E357CF" w:rsidP="00E357CF">
      <w:pPr>
        <w:spacing w:line="360" w:lineRule="auto"/>
        <w:rPr>
          <w:lang w:val="en-IE"/>
        </w:rPr>
      </w:pPr>
      <w:r w:rsidRPr="00D238B4">
        <w:rPr>
          <w:lang w:val="en-IE"/>
        </w:rPr>
        <w:t>The general food law (GFL), as Regulation (EC) No. 178/2002 is commonly known, is the fundament of all food legislation in Europe, an important contributor to innovation and a driver of future growth.</w:t>
      </w:r>
      <w:r>
        <w:rPr>
          <w:lang w:val="en-IE"/>
        </w:rPr>
        <w:t xml:space="preserve"> FoodDrinkEurope would like to first and foremost express their appreciation for the GFL, and seeks to ensure further success in its implementation.  </w:t>
      </w:r>
    </w:p>
    <w:p w:rsidR="00E357CF" w:rsidRDefault="00E357CF" w:rsidP="00E357CF">
      <w:pPr>
        <w:spacing w:line="360" w:lineRule="auto"/>
        <w:rPr>
          <w:lang w:val="en-IE"/>
        </w:rPr>
      </w:pPr>
      <w:r w:rsidRPr="001514A9">
        <w:rPr>
          <w:lang w:val="en-IE"/>
        </w:rPr>
        <w:t xml:space="preserve">The </w:t>
      </w:r>
      <w:r>
        <w:rPr>
          <w:lang w:val="en-IE"/>
        </w:rPr>
        <w:t>GFL</w:t>
      </w:r>
      <w:r w:rsidRPr="001514A9">
        <w:rPr>
          <w:lang w:val="en-IE"/>
        </w:rPr>
        <w:t xml:space="preserve"> Regulation sets out an overarching and coherent framework for the development of food and feed legislation both at Union and national levels. It lays down general principles, requirements and procedures that underpin decision-making in matters of food and feed safety, covering all stages of food and feed production and distribution. </w:t>
      </w:r>
      <w:r w:rsidRPr="00D238B4">
        <w:rPr>
          <w:lang w:val="en-IE"/>
        </w:rPr>
        <w:t xml:space="preserve">The GFL </w:t>
      </w:r>
      <w:r>
        <w:rPr>
          <w:lang w:val="en-IE"/>
        </w:rPr>
        <w:t>is a useful tool for setting the ground</w:t>
      </w:r>
      <w:r w:rsidRPr="00D238B4">
        <w:rPr>
          <w:lang w:val="en-IE"/>
        </w:rPr>
        <w:t xml:space="preserve"> </w:t>
      </w:r>
      <w:r>
        <w:rPr>
          <w:lang w:val="en-IE"/>
        </w:rPr>
        <w:t>for</w:t>
      </w:r>
      <w:r w:rsidRPr="00D238B4">
        <w:rPr>
          <w:lang w:val="en-IE"/>
        </w:rPr>
        <w:t xml:space="preserve"> secondary legislation</w:t>
      </w:r>
      <w:r>
        <w:rPr>
          <w:lang w:val="en-IE"/>
        </w:rPr>
        <w:t xml:space="preserve">, which needs to follow the principles of GFL. </w:t>
      </w:r>
    </w:p>
    <w:p w:rsidR="00E357CF" w:rsidRDefault="00E357CF" w:rsidP="00E357CF">
      <w:pPr>
        <w:spacing w:line="360" w:lineRule="auto"/>
        <w:rPr>
          <w:lang w:val="en-IE"/>
        </w:rPr>
      </w:pPr>
      <w:r>
        <w:rPr>
          <w:lang w:val="en-IE"/>
        </w:rPr>
        <w:t xml:space="preserve">The introduction of GFL 15 years ago brought about positive and fundamental change for managing risks in Europe, both for consumers and for industry. Not only did the GFL offer a harmonised definition of food for the first time, but it also considered food and feed in the one piece of legislation following the BSE crisis of the 1990s. With the introduction of the GFL, a high level of protection has been guaranteed to the food consumer, with consideration also afforded to animal health and welfare, plant welfare and the environment. The establishment of the European Food Safety Agency (EFSA) and the competence of the Rapid Alert System for Food and Feed (RASFF) have increased consumer confidence. Overall GFL has clarified rules for food business operators (FGOs). It is particularly encouraging to see the steps taken towards ever greater harmonization across the European Union (EU), in particular in relation to risk analysis and management. FoodDrinkEurope commends this good work and endeavours to see it continue. </w:t>
      </w:r>
    </w:p>
    <w:p w:rsidR="00E357CF" w:rsidRDefault="00E357CF" w:rsidP="00E357CF">
      <w:pPr>
        <w:spacing w:line="360" w:lineRule="auto"/>
        <w:rPr>
          <w:lang w:val="en-IE"/>
        </w:rPr>
      </w:pPr>
      <w:r w:rsidRPr="00D238B4">
        <w:rPr>
          <w:lang w:val="en-IE"/>
        </w:rPr>
        <w:lastRenderedPageBreak/>
        <w:t xml:space="preserve">FoodDrinkEurope </w:t>
      </w:r>
      <w:r>
        <w:rPr>
          <w:lang w:val="en-IE"/>
        </w:rPr>
        <w:t>has contributed</w:t>
      </w:r>
      <w:r w:rsidRPr="00D238B4">
        <w:rPr>
          <w:lang w:val="en-IE"/>
        </w:rPr>
        <w:t xml:space="preserve"> to the </w:t>
      </w:r>
      <w:r>
        <w:rPr>
          <w:lang w:val="en-IE"/>
        </w:rPr>
        <w:t xml:space="preserve">DG Santé REFIT exercise to review </w:t>
      </w:r>
      <w:r w:rsidRPr="00D238B4">
        <w:rPr>
          <w:lang w:val="en-IE"/>
        </w:rPr>
        <w:t xml:space="preserve">the </w:t>
      </w:r>
      <w:r>
        <w:rPr>
          <w:lang w:val="en-IE"/>
        </w:rPr>
        <w:t>functioning</w:t>
      </w:r>
      <w:r w:rsidRPr="00D238B4">
        <w:rPr>
          <w:lang w:val="en-IE"/>
        </w:rPr>
        <w:t xml:space="preserve"> of this legislation</w:t>
      </w:r>
      <w:r>
        <w:rPr>
          <w:lang w:val="en-IE"/>
        </w:rPr>
        <w:t>. Clearly this legislation has impact on many aspects relevant for the food industry in addition to consumer protection.</w:t>
      </w:r>
    </w:p>
    <w:p w:rsidR="00E357CF" w:rsidRDefault="00E357CF" w:rsidP="00E357CF">
      <w:pPr>
        <w:spacing w:line="360" w:lineRule="auto"/>
        <w:rPr>
          <w:lang w:val="en-IE"/>
        </w:rPr>
      </w:pPr>
      <w:r>
        <w:rPr>
          <w:lang w:val="en-IE"/>
        </w:rPr>
        <w:t>While the legislation itself is an incredible tool which has strengthened the food industry and the rights of the consumer, guidance and clarity in certain areas would be helpful and beneficial to all stake-holders, we see</w:t>
      </w:r>
      <w:r w:rsidRPr="002D69F0">
        <w:rPr>
          <w:lang w:val="en-IE"/>
        </w:rPr>
        <w:t xml:space="preserve"> room for improvement mainly with regard to </w:t>
      </w:r>
      <w:r>
        <w:rPr>
          <w:lang w:val="en-IE"/>
        </w:rPr>
        <w:t xml:space="preserve">furthering </w:t>
      </w:r>
      <w:r w:rsidRPr="002D69F0">
        <w:rPr>
          <w:lang w:val="en-IE"/>
        </w:rPr>
        <w:t xml:space="preserve">a common understanding and application of the general principles of GFL </w:t>
      </w:r>
      <w:r>
        <w:rPr>
          <w:lang w:val="en-IE"/>
        </w:rPr>
        <w:t>and the</w:t>
      </w:r>
      <w:r w:rsidRPr="002D69F0">
        <w:rPr>
          <w:lang w:val="en-IE"/>
        </w:rPr>
        <w:t xml:space="preserve"> further harmonization on the basis of those</w:t>
      </w:r>
      <w:r>
        <w:rPr>
          <w:lang w:val="en-IE"/>
        </w:rPr>
        <w:br/>
      </w:r>
      <w:r>
        <w:rPr>
          <w:lang w:val="en-IE"/>
        </w:rPr>
        <w:br/>
        <w:t xml:space="preserve">FoodDrinkEurope wishes to highlight areas for improvement as regards the potential impact of the GFL on innovation, the functioning of the internal market, external trade and sustainability. </w:t>
      </w:r>
    </w:p>
    <w:p w:rsidR="00E357CF" w:rsidRPr="00D238B4" w:rsidRDefault="00E357CF" w:rsidP="00E357CF">
      <w:pPr>
        <w:spacing w:line="360" w:lineRule="auto"/>
        <w:rPr>
          <w:lang w:val="en-IE"/>
        </w:rPr>
      </w:pPr>
      <w:r w:rsidRPr="00D238B4">
        <w:rPr>
          <w:lang w:val="en-IE"/>
        </w:rPr>
        <w:t xml:space="preserve">FoodDrinkEurope seeks to make these remarks to further clarify the GFL, and to strengthen its functioning across the </w:t>
      </w:r>
      <w:r>
        <w:rPr>
          <w:lang w:val="en-IE"/>
        </w:rPr>
        <w:t>EC</w:t>
      </w:r>
      <w:r w:rsidRPr="00D238B4">
        <w:rPr>
          <w:lang w:val="en-IE"/>
        </w:rPr>
        <w:t xml:space="preserve">. </w:t>
      </w:r>
    </w:p>
    <w:p w:rsidR="00E357CF" w:rsidRPr="00D238B4" w:rsidRDefault="00E357CF" w:rsidP="00E357CF">
      <w:pPr>
        <w:spacing w:line="360" w:lineRule="auto"/>
        <w:rPr>
          <w:lang w:val="en-IE"/>
        </w:rPr>
      </w:pPr>
    </w:p>
    <w:p w:rsidR="00E357CF" w:rsidRDefault="00E357CF" w:rsidP="00E357CF">
      <w:pPr>
        <w:pStyle w:val="ListParagraph"/>
        <w:numPr>
          <w:ilvl w:val="0"/>
          <w:numId w:val="1"/>
        </w:numPr>
        <w:spacing w:line="360" w:lineRule="auto"/>
        <w:rPr>
          <w:lang w:val="en-IE"/>
        </w:rPr>
      </w:pPr>
      <w:r w:rsidRPr="00441307">
        <w:rPr>
          <w:b/>
          <w:i/>
          <w:lang w:val="en-IE"/>
        </w:rPr>
        <w:t>The need for fuller European harmonization, while taking into account the unique nature of Member States markets and different cultures.</w:t>
      </w:r>
      <w:r w:rsidRPr="00D238B4">
        <w:rPr>
          <w:b/>
          <w:lang w:val="en-IE"/>
        </w:rPr>
        <w:t xml:space="preserve"> </w:t>
      </w:r>
      <w:r w:rsidRPr="00D238B4">
        <w:rPr>
          <w:b/>
          <w:lang w:val="en-IE"/>
        </w:rPr>
        <w:br/>
      </w:r>
      <w:r w:rsidRPr="00D238B4">
        <w:rPr>
          <w:lang w:val="en-IE"/>
        </w:rPr>
        <w:br/>
        <w:t xml:space="preserve">FoodDrinkEurope acknowledges and appreciates the uniqueness of Member States, which is covered and respected by certain legislation such as Protected Designation of Origin (PDO), Protected Geographical indication (PGI) and Traditional Specialties Guaranteed (TSG). </w:t>
      </w:r>
      <w:r w:rsidRPr="00D238B4">
        <w:rPr>
          <w:lang w:val="en-IE"/>
        </w:rPr>
        <w:br/>
      </w:r>
      <w:r w:rsidRPr="00D238B4">
        <w:rPr>
          <w:lang w:val="en-IE"/>
        </w:rPr>
        <w:br/>
        <w:t xml:space="preserve">While respecting these distinctions, it is nevertheless essential that an effective internal market be in operation, with the authoritative opinions of EFSA to form the basis of risk management measures as regards food safety. Community policies should always assure the high level of protection of human life and health, and the free movement of food and feed within the Community can only be achieve if food and feed safety requirements do not differ significantly across Member States. </w:t>
      </w:r>
      <w:r w:rsidRPr="00D238B4">
        <w:rPr>
          <w:lang w:val="en-IE"/>
        </w:rPr>
        <w:br/>
      </w:r>
      <w:r w:rsidRPr="00D238B4">
        <w:rPr>
          <w:lang w:val="en-IE"/>
        </w:rPr>
        <w:br/>
        <w:t xml:space="preserve">FoodDrinkEurope therefore requests fuller European harmonization, to avoid interference with </w:t>
      </w:r>
      <w:r w:rsidRPr="00D238B4">
        <w:rPr>
          <w:lang w:val="en-IE"/>
        </w:rPr>
        <w:lastRenderedPageBreak/>
        <w:t xml:space="preserve">the internal market and to avoid food safety laws differing substantially from one country to another. </w:t>
      </w:r>
      <w:r w:rsidRPr="00D238B4">
        <w:rPr>
          <w:lang w:val="en-IE"/>
        </w:rPr>
        <w:br/>
      </w:r>
      <w:r w:rsidRPr="00D238B4">
        <w:rPr>
          <w:lang w:val="en-IE"/>
        </w:rPr>
        <w:br/>
      </w:r>
      <w:r w:rsidRPr="00D238B4">
        <w:rPr>
          <w:u w:val="single"/>
          <w:lang w:val="en-IE"/>
        </w:rPr>
        <w:t>Example:</w:t>
      </w:r>
      <w:r w:rsidRPr="00D238B4">
        <w:rPr>
          <w:lang w:val="en-IE"/>
        </w:rPr>
        <w:t xml:space="preserve">  We refer to the example of BPA (Bisphenol A), a substance used in packaging which has had its safety confirmed numerous times by EFSA. However, several Member States, including Denmark, France or Austria, have introduced national legislation challenging this designation, which impacts on the proper functioning of the internal market. </w:t>
      </w:r>
      <w:r>
        <w:rPr>
          <w:lang w:val="en-IE"/>
        </w:rPr>
        <w:t>While the Commission in the meanwhile drafted a European measure, this is still not adopted after more than one year.</w:t>
      </w:r>
      <w:r w:rsidRPr="00D238B4">
        <w:rPr>
          <w:lang w:val="en-IE"/>
        </w:rPr>
        <w:br/>
      </w:r>
    </w:p>
    <w:p w:rsidR="00E357CF" w:rsidRDefault="00E357CF" w:rsidP="00E357CF">
      <w:pPr>
        <w:spacing w:line="360" w:lineRule="auto"/>
        <w:ind w:left="720"/>
        <w:rPr>
          <w:lang w:val="en-IE"/>
        </w:rPr>
      </w:pPr>
      <w:r w:rsidRPr="00F322F7">
        <w:rPr>
          <w:lang w:val="en-IE"/>
        </w:rPr>
        <w:t>It has to be noted that the mutual recognition principle cannot supersede the need for further harmonization as its application is still burdensome, time-consuming and costly in many cases. The outcome is uncertain because in many Member States the authorities either take no formal decision before product launches or they even deny mutual recognition by invoking that its exemptions would apply.</w:t>
      </w:r>
    </w:p>
    <w:p w:rsidR="00E357CF" w:rsidRDefault="00E357CF" w:rsidP="00E357CF">
      <w:pPr>
        <w:spacing w:line="360" w:lineRule="auto"/>
        <w:ind w:left="720"/>
        <w:rPr>
          <w:lang w:val="en-IE"/>
        </w:rPr>
      </w:pPr>
      <w:r>
        <w:rPr>
          <w:lang w:val="en-IE"/>
        </w:rPr>
        <w:t xml:space="preserve">Example: Maximum levels for vitamins and minerals added to foods in general and food supplements in particular: Whilst foreseen in the relevant legislation, maximum levels have not been agreed on Union level yet mainly due to the fact that member states could not agree on a common approach. Instead, more and more national legislation is being developed that poses a threat to the common market – also because the principle of mutual recognition is then not properly applied. And: As the European Court of Justice has just recently held in the case </w:t>
      </w:r>
      <w:r w:rsidRPr="008F4FAE">
        <w:rPr>
          <w:lang w:val="en-IE"/>
        </w:rPr>
        <w:t>C 282/15</w:t>
      </w:r>
      <w:r>
        <w:rPr>
          <w:lang w:val="en-IE"/>
        </w:rPr>
        <w:t xml:space="preserve"> (Queisser ./. Germany) member states still do not properly adhere to the fundamentals of risk analysis and the precautionary principle according to Articles 6 and 7 of GFL when establishing national measures (and the CJEU has ruled against other member states in many instances).</w:t>
      </w:r>
    </w:p>
    <w:p w:rsidR="00E357CF" w:rsidRPr="00F322F7" w:rsidRDefault="00E357CF" w:rsidP="00E357CF">
      <w:pPr>
        <w:spacing w:line="360" w:lineRule="auto"/>
        <w:ind w:left="720"/>
        <w:rPr>
          <w:lang w:val="en-IE"/>
        </w:rPr>
      </w:pPr>
      <w:r w:rsidRPr="003A7F36">
        <w:rPr>
          <w:u w:val="single"/>
          <w:lang w:val="en-IE"/>
        </w:rPr>
        <w:t>Example:</w:t>
      </w:r>
      <w:r w:rsidRPr="00F322F7">
        <w:rPr>
          <w:lang w:val="en-IE"/>
        </w:rPr>
        <w:t xml:space="preserve">  Mutual recognition has been denied for food products fortified with vitamins and minerals (e.g. vitamin D, zinc or iron in Germany) for alleged food safety reasons despite the fact that these products are legally marketed in other EU Member States with the same recipes.</w:t>
      </w:r>
      <w:r>
        <w:rPr>
          <w:lang w:val="en-IE"/>
        </w:rPr>
        <w:t xml:space="preserve"> The </w:t>
      </w:r>
      <w:r>
        <w:rPr>
          <w:lang w:val="en-IE"/>
        </w:rPr>
        <w:lastRenderedPageBreak/>
        <w:t xml:space="preserve">Regulation (EC) No. 764/2008 on mutual recognition has basically not been applied in the area of food –as in many other areas as well and is therefore under scrutiny in a fitness-check as well.  </w:t>
      </w:r>
    </w:p>
    <w:p w:rsidR="00E357CF" w:rsidRDefault="00E357CF" w:rsidP="00E357CF">
      <w:pPr>
        <w:pStyle w:val="ListParagraph"/>
        <w:numPr>
          <w:ilvl w:val="0"/>
          <w:numId w:val="1"/>
        </w:numPr>
        <w:spacing w:line="360" w:lineRule="auto"/>
        <w:rPr>
          <w:lang w:val="en-IE"/>
        </w:rPr>
      </w:pPr>
      <w:r w:rsidRPr="00305105">
        <w:rPr>
          <w:b/>
          <w:i/>
          <w:lang w:val="en-IE"/>
        </w:rPr>
        <w:t>Achievement of higher level of protection of consumers’ interests, while also protecting competitiveness of Food Business Operators (FBOs).</w:t>
      </w:r>
      <w:r w:rsidRPr="00305105">
        <w:rPr>
          <w:b/>
          <w:lang w:val="en-IE"/>
        </w:rPr>
        <w:t xml:space="preserve">  </w:t>
      </w:r>
      <w:r w:rsidRPr="00305105">
        <w:rPr>
          <w:b/>
          <w:lang w:val="en-IE"/>
        </w:rPr>
        <w:br/>
      </w:r>
      <w:r w:rsidRPr="00305105">
        <w:rPr>
          <w:lang w:val="en-IE"/>
        </w:rPr>
        <w:br/>
        <w:t>FoodDrinkEurope acknowledges the protection of consumers’ interests as outlined in Article 8 (Protection of Consumers’ Interests), wherein food law shall aim to protect the interests of consumers and shall provide a basis for consumers to make informed choices in relation to the food they consume.  However, a common interpretation on the classification of fraud is necessary. FoodDrinkEurope therefore supports a system of cooperation between Member States to exchange information on fraud or fraudulent practices</w:t>
      </w:r>
      <w:r>
        <w:rPr>
          <w:lang w:val="en-IE"/>
        </w:rPr>
        <w:t>, which should not be part of the publically accessible RASFF system.</w:t>
      </w:r>
      <w:r w:rsidRPr="00305105">
        <w:rPr>
          <w:lang w:val="en-IE"/>
        </w:rPr>
        <w:t xml:space="preserve"> Fraud information should only occur in the public domain if confirmed by appropriate criminal investigations, to ensure that standards of competitiveness remain consistent throughout the Community.</w:t>
      </w:r>
      <w:r w:rsidRPr="00305105">
        <w:rPr>
          <w:lang w:val="en-IE"/>
        </w:rPr>
        <w:br/>
      </w:r>
      <w:r w:rsidRPr="00305105">
        <w:rPr>
          <w:lang w:val="en-IE"/>
        </w:rPr>
        <w:br/>
        <w:t xml:space="preserve">The reduction of regulatory costs and burdens could be implemented through the use of alternatives to Regulation or its combination with new tools, where applicable. </w:t>
      </w:r>
      <w:r w:rsidRPr="00305105">
        <w:rPr>
          <w:lang w:val="en-IE"/>
        </w:rPr>
        <w:br/>
      </w:r>
      <w:r w:rsidRPr="00305105">
        <w:rPr>
          <w:lang w:val="en-IE"/>
        </w:rPr>
        <w:br/>
        <w:t xml:space="preserve">Example: The food industry has employed self-regulation in dealing with acrylamide since its discovery in 2002. </w:t>
      </w:r>
      <w:r>
        <w:rPr>
          <w:lang w:val="en-IE"/>
        </w:rPr>
        <w:t>T</w:t>
      </w:r>
      <w:r w:rsidRPr="00305105">
        <w:rPr>
          <w:lang w:val="en-IE"/>
        </w:rPr>
        <w:t xml:space="preserve">he development of Codes of Practice devised by FoodDrinkEurope combined with a Regulation </w:t>
      </w:r>
      <w:r>
        <w:rPr>
          <w:lang w:val="en-IE"/>
        </w:rPr>
        <w:t>referring to these COPs will oblige companies to access mitigation tools to comply with  so-called benchmark levels aiming at reaching levels as low as reasonable achievable</w:t>
      </w:r>
      <w:r w:rsidRPr="00305105">
        <w:rPr>
          <w:lang w:val="en-IE"/>
        </w:rPr>
        <w:t xml:space="preserve">. </w:t>
      </w:r>
    </w:p>
    <w:p w:rsidR="00E357CF" w:rsidRDefault="00E357CF" w:rsidP="00E357CF">
      <w:pPr>
        <w:pStyle w:val="ListParagraph"/>
        <w:spacing w:line="360" w:lineRule="auto"/>
        <w:rPr>
          <w:b/>
          <w:u w:val="single"/>
        </w:rPr>
      </w:pPr>
      <w:r w:rsidRPr="00305105">
        <w:rPr>
          <w:lang w:val="en-IE"/>
        </w:rPr>
        <w:br/>
      </w:r>
      <w:r w:rsidRPr="006E5B44">
        <w:rPr>
          <w:b/>
          <w:u w:val="single"/>
        </w:rPr>
        <w:t>Article 6 GFL: Risk Analysis</w:t>
      </w:r>
    </w:p>
    <w:p w:rsidR="00E357CF" w:rsidRPr="003A7F36" w:rsidRDefault="00E357CF" w:rsidP="00E357CF">
      <w:pPr>
        <w:pStyle w:val="ListParagraph"/>
        <w:spacing w:line="360" w:lineRule="auto"/>
        <w:rPr>
          <w:i/>
        </w:rPr>
      </w:pPr>
      <w:r w:rsidRPr="003A7F36">
        <w:rPr>
          <w:i/>
        </w:rPr>
        <w:t xml:space="preserve">Under Articles 6 and 7 I would think that risk communication is not our first and most important point to raise but rather the need to adhere to the principles as set in GFL and the Case Queisser or the case Solgar can illustrate that? So, rather than mentioning risk communication first, it should be reiterating that risk analysis and in case of scientific uncertainty –and only then – the </w:t>
      </w:r>
      <w:r w:rsidRPr="003A7F36">
        <w:rPr>
          <w:i/>
        </w:rPr>
        <w:lastRenderedPageBreak/>
        <w:t>precautionary principle are the basis and obligation at the same time for legislators and risk managers in general to act on. No measures should be taken without robust risk analysis, because that is what food businesses need to rely on as basis for a predictable and reliable for their operating in the EU.</w:t>
      </w:r>
    </w:p>
    <w:p w:rsidR="00E357CF" w:rsidRDefault="00E357CF" w:rsidP="00E357CF">
      <w:pPr>
        <w:spacing w:line="360" w:lineRule="auto"/>
        <w:ind w:left="720"/>
        <w:rPr>
          <w:b/>
          <w:i/>
        </w:rPr>
      </w:pPr>
      <w:r w:rsidRPr="003A7F36">
        <w:rPr>
          <w:i/>
        </w:rPr>
        <w:t>And then we could refer to risk communication as a challenge in itself. Please try for a proper inclusion of those thoughts in the text.</w:t>
      </w:r>
      <w:r>
        <w:t xml:space="preserve"> </w:t>
      </w:r>
    </w:p>
    <w:p w:rsidR="00E357CF" w:rsidRPr="003A7F36" w:rsidRDefault="00E357CF" w:rsidP="00E357CF">
      <w:pPr>
        <w:spacing w:line="360" w:lineRule="auto"/>
        <w:rPr>
          <w:b/>
          <w:i/>
        </w:rPr>
      </w:pPr>
      <w:r>
        <w:rPr>
          <w:b/>
          <w:i/>
        </w:rPr>
        <w:t xml:space="preserve">        </w:t>
      </w:r>
      <w:r w:rsidRPr="003A7F36">
        <w:rPr>
          <w:b/>
          <w:i/>
        </w:rPr>
        <w:t>3.</w:t>
      </w:r>
      <w:r>
        <w:rPr>
          <w:b/>
          <w:i/>
        </w:rPr>
        <w:tab/>
      </w:r>
      <w:r w:rsidRPr="003A7F36">
        <w:rPr>
          <w:b/>
          <w:i/>
        </w:rPr>
        <w:t xml:space="preserve">Shared responsibility for communication of risk assessors and risk managers. </w:t>
      </w:r>
    </w:p>
    <w:p w:rsidR="00E357CF" w:rsidRDefault="00E357CF" w:rsidP="00E357CF">
      <w:pPr>
        <w:pStyle w:val="ListParagraph"/>
        <w:spacing w:line="360" w:lineRule="auto"/>
      </w:pPr>
      <w:r>
        <w:t xml:space="preserve">FoodDrinkEurope is concerned that the role and responsibility of risk assessors and risk managers are sometimes confused. As it currently stands, risk assessors, who do not have the mandate of a risk manager, mainly communicate about the outcome of risk assessments. This ultimately leads to false assumptions, that this is already the risk management decision, which is unfortunate. </w:t>
      </w:r>
    </w:p>
    <w:p w:rsidR="00E357CF" w:rsidRPr="00266C5E" w:rsidRDefault="00E357CF" w:rsidP="00E357CF">
      <w:pPr>
        <w:spacing w:line="360" w:lineRule="auto"/>
        <w:ind w:left="720"/>
        <w:rPr>
          <w:b/>
          <w:u w:val="single"/>
          <w:lang w:val="en-IE"/>
        </w:rPr>
      </w:pPr>
      <w:r w:rsidRPr="00266C5E">
        <w:rPr>
          <w:lang w:val="en-IE"/>
        </w:rPr>
        <w:br/>
      </w:r>
      <w:r w:rsidRPr="00266C5E">
        <w:rPr>
          <w:b/>
          <w:u w:val="single"/>
          <w:lang w:val="en-IE"/>
        </w:rPr>
        <w:t>Article 7 GFL: Precautionary principle</w:t>
      </w:r>
    </w:p>
    <w:p w:rsidR="00E357CF" w:rsidRPr="00266C5E" w:rsidRDefault="00E357CF" w:rsidP="00E357CF">
      <w:pPr>
        <w:spacing w:line="360" w:lineRule="auto"/>
        <w:ind w:left="709" w:hanging="349"/>
        <w:rPr>
          <w:lang w:val="en-IE"/>
        </w:rPr>
      </w:pPr>
      <w:r>
        <w:rPr>
          <w:b/>
          <w:i/>
          <w:lang w:val="en-IE"/>
        </w:rPr>
        <w:t>4.</w:t>
      </w:r>
      <w:r>
        <w:rPr>
          <w:b/>
          <w:i/>
          <w:lang w:val="en-IE"/>
        </w:rPr>
        <w:tab/>
      </w:r>
      <w:r w:rsidRPr="00266C5E">
        <w:rPr>
          <w:b/>
          <w:i/>
          <w:lang w:val="en-IE"/>
        </w:rPr>
        <w:t>Potential inconsistences/gaps in the interpretation and implementation of the provisions of Regulation (EC) No. 178/2002 (GFL)</w:t>
      </w:r>
      <w:r w:rsidRPr="00266C5E">
        <w:rPr>
          <w:b/>
          <w:lang w:val="en-IE"/>
        </w:rPr>
        <w:br/>
      </w:r>
      <w:r w:rsidRPr="00266C5E">
        <w:rPr>
          <w:lang w:val="en-IE"/>
        </w:rPr>
        <w:br/>
        <w:t xml:space="preserve">FoodDrinkEurope finds it important to further clarify the application of the precautionary principle (which is codified in article 7.) While FoodDrinkEurope is of the opinion that there is no need to change the wording of the principle as it is stated, it is essential that the risk managers only adopt measures referring to article 7 in the event of a potential risk. As stated in the Commission communication on the precautionary principle (COM (2000)1), page 13: </w:t>
      </w:r>
      <w:r w:rsidRPr="00266C5E">
        <w:rPr>
          <w:i/>
          <w:lang w:val="en-IE"/>
        </w:rPr>
        <w:t>“It should however be noted that the precautionary principle can under no circumstances be used to justify the adoption of arbitrary decisions</w:t>
      </w:r>
      <w:r w:rsidRPr="00266C5E">
        <w:rPr>
          <w:lang w:val="en-IE"/>
        </w:rPr>
        <w:t xml:space="preserve">”.  </w:t>
      </w:r>
      <w:r w:rsidRPr="00266C5E">
        <w:rPr>
          <w:lang w:val="en-IE"/>
        </w:rPr>
        <w:br/>
      </w:r>
      <w:r w:rsidRPr="00266C5E">
        <w:rPr>
          <w:lang w:val="en-IE"/>
        </w:rPr>
        <w:br/>
        <w:t xml:space="preserve">Example: We refer to the example of azo colours, which were linked to hyperactivity in children, according to the so-called Southampton study. Although this was challenged by EFSA. However, </w:t>
      </w:r>
      <w:r w:rsidRPr="00266C5E">
        <w:rPr>
          <w:lang w:val="en-IE"/>
        </w:rPr>
        <w:lastRenderedPageBreak/>
        <w:t xml:space="preserve">European producers must still put labels with a warning statement on their products. </w:t>
      </w:r>
      <w:r w:rsidRPr="00266C5E">
        <w:rPr>
          <w:lang w:val="en-IE"/>
        </w:rPr>
        <w:br/>
        <w:t>FoodDrinkEurope accepts that other legitimate factors pla</w:t>
      </w:r>
      <w:r>
        <w:rPr>
          <w:lang w:val="en-IE"/>
        </w:rPr>
        <w:t>y</w:t>
      </w:r>
      <w:r w:rsidRPr="00266C5E">
        <w:rPr>
          <w:lang w:val="en-IE"/>
        </w:rPr>
        <w:t xml:space="preserve"> a role in the invocation of the precautionary principle, but request that these should not overrule a scientific assessment. </w:t>
      </w:r>
      <w:r w:rsidRPr="00266C5E">
        <w:rPr>
          <w:lang w:val="en-IE"/>
        </w:rPr>
        <w:br/>
      </w:r>
      <w:r w:rsidRPr="003A7F36">
        <w:rPr>
          <w:i/>
          <w:lang w:val="en-IE"/>
        </w:rPr>
        <w:t>And again Queisser, Solgar and others, maybe you can introduce those arguments in a consistent way/text?</w:t>
      </w:r>
    </w:p>
    <w:p w:rsidR="00E357CF" w:rsidRPr="00441307" w:rsidRDefault="00E357CF" w:rsidP="00E357CF">
      <w:pPr>
        <w:pStyle w:val="ListParagraph"/>
        <w:spacing w:line="360" w:lineRule="auto"/>
        <w:rPr>
          <w:b/>
          <w:u w:val="single"/>
          <w:lang w:val="en-IE"/>
        </w:rPr>
      </w:pPr>
      <w:r w:rsidRPr="00441307">
        <w:rPr>
          <w:b/>
          <w:u w:val="single"/>
          <w:lang w:val="en-IE"/>
        </w:rPr>
        <w:t>Article 9 GFL: Public consultation</w:t>
      </w:r>
    </w:p>
    <w:p w:rsidR="00E357CF" w:rsidRDefault="00E357CF" w:rsidP="00E357CF">
      <w:pPr>
        <w:spacing w:line="360" w:lineRule="auto"/>
        <w:ind w:left="720" w:hanging="360"/>
      </w:pPr>
      <w:r>
        <w:rPr>
          <w:b/>
          <w:i/>
        </w:rPr>
        <w:t>5.</w:t>
      </w:r>
      <w:r>
        <w:rPr>
          <w:b/>
          <w:i/>
        </w:rPr>
        <w:tab/>
      </w:r>
      <w:r w:rsidRPr="00266C5E">
        <w:rPr>
          <w:b/>
          <w:i/>
        </w:rPr>
        <w:t>Issues with public consultation</w:t>
      </w:r>
      <w:r w:rsidRPr="00266C5E">
        <w:rPr>
          <w:b/>
        </w:rPr>
        <w:t xml:space="preserve"> </w:t>
      </w:r>
      <w:r w:rsidRPr="00266C5E">
        <w:rPr>
          <w:b/>
        </w:rPr>
        <w:br/>
      </w:r>
      <w:r>
        <w:t xml:space="preserve">FoodDrinkEurope appreciates the opportunity afforded to relevant stake-holders to have their voices heard in consultations, but expresses concern on the issue of stakeholder asymmetries. It is therefore imperative that methods for consultation which respect and adapt to the context of stake-holders. A targeted stake-holder consultation is preferable, but it is not the intention of FoodDrinkEurope to exclude or dismiss broader consultations, provided that the criteria for the validation of stake-holder contributions are consistent. </w:t>
      </w:r>
      <w:r>
        <w:br/>
      </w:r>
      <w:r>
        <w:br/>
        <w:t xml:space="preserve">FoodDrinkEurope finds it important </w:t>
      </w:r>
      <w:r w:rsidRPr="005F2A4B">
        <w:t>abiding to a professional code of conduct as a requisite for participation to consultation to avoid any conflict of interest</w:t>
      </w:r>
      <w:r>
        <w:t xml:space="preserve"> and that the </w:t>
      </w:r>
      <w:r w:rsidRPr="00892C11">
        <w:t>European Commission follows its guidelines on public consultations in a more coherent and complete way and that it improves the inclusiveness, quality and impartiality of consultations as well as the methodology and format used for questionnaires. The time period for responding to the new feedback opportunities should be expanded and their notification to stakeholders upgraded.</w:t>
      </w:r>
      <w:r>
        <w:t xml:space="preserve"> And: Whereas the standard of consultation at EU level has been constantly improved throughout the last years, a lot has to be done on member state level where a majority of member states do not seem to have a coherent approach to consulting stakeholder especially with regard to EU measures at all. </w:t>
      </w:r>
    </w:p>
    <w:p w:rsidR="00E357CF" w:rsidRDefault="00E357CF" w:rsidP="00E357CF">
      <w:pPr>
        <w:spacing w:line="360" w:lineRule="auto"/>
        <w:ind w:left="360"/>
      </w:pPr>
      <w:r>
        <w:br/>
      </w:r>
    </w:p>
    <w:p w:rsidR="00E357CF" w:rsidRPr="00E855ED" w:rsidRDefault="00E357CF" w:rsidP="00E357CF">
      <w:pPr>
        <w:pStyle w:val="ListParagraph"/>
        <w:spacing w:line="360" w:lineRule="auto"/>
        <w:rPr>
          <w:b/>
          <w:u w:val="single"/>
        </w:rPr>
      </w:pPr>
      <w:r w:rsidRPr="00E855ED">
        <w:rPr>
          <w:b/>
          <w:u w:val="single"/>
        </w:rPr>
        <w:t>Article</w:t>
      </w:r>
      <w:r>
        <w:rPr>
          <w:b/>
          <w:u w:val="single"/>
        </w:rPr>
        <w:t>s</w:t>
      </w:r>
      <w:r w:rsidRPr="00E855ED">
        <w:rPr>
          <w:b/>
          <w:u w:val="single"/>
        </w:rPr>
        <w:t xml:space="preserve"> 14: Food Safety Requirements</w:t>
      </w:r>
      <w:r>
        <w:rPr>
          <w:b/>
          <w:u w:val="single"/>
        </w:rPr>
        <w:t xml:space="preserve"> and article 19 responsibility of business operators</w:t>
      </w:r>
    </w:p>
    <w:p w:rsidR="00E357CF" w:rsidRDefault="00E357CF" w:rsidP="00E357CF">
      <w:pPr>
        <w:spacing w:line="360" w:lineRule="auto"/>
      </w:pPr>
      <w:r>
        <w:rPr>
          <w:b/>
          <w:i/>
        </w:rPr>
        <w:lastRenderedPageBreak/>
        <w:t xml:space="preserve">        6.  </w:t>
      </w:r>
      <w:r>
        <w:rPr>
          <w:b/>
          <w:i/>
        </w:rPr>
        <w:tab/>
      </w:r>
      <w:r w:rsidRPr="00266C5E">
        <w:rPr>
          <w:b/>
          <w:i/>
        </w:rPr>
        <w:t>Fuller harmonization as regards food safety across Member States.</w:t>
      </w:r>
    </w:p>
    <w:p w:rsidR="00E357CF" w:rsidRPr="003A7F36" w:rsidRDefault="00E357CF" w:rsidP="00E357CF">
      <w:pPr>
        <w:spacing w:line="360" w:lineRule="auto"/>
        <w:ind w:left="720"/>
        <w:rPr>
          <w:b/>
          <w:i/>
        </w:rPr>
      </w:pPr>
      <w:r>
        <w:t>FoodDrinkEurope maintains that Article 14 of the GFL is the single most important provision in European Food law. And having said that: the biggest problem food businesses face is across Europe is that member states apply Art. 14 GFL so very differently that more guidance seems the only solution to harmonize the application of this single most important provision in food law. And that is especially true when it comes to the application of Articles 14 and 19 GFL.</w:t>
      </w:r>
    </w:p>
    <w:p w:rsidR="00E357CF" w:rsidRDefault="00E357CF" w:rsidP="00E357CF">
      <w:pPr>
        <w:spacing w:line="360" w:lineRule="auto"/>
        <w:ind w:left="567"/>
      </w:pPr>
    </w:p>
    <w:p w:rsidR="00E357CF" w:rsidRDefault="00E357CF" w:rsidP="00E357CF">
      <w:pPr>
        <w:spacing w:line="360" w:lineRule="auto"/>
        <w:ind w:left="720"/>
      </w:pPr>
      <w:r>
        <w:t>And please introduce here the zero tolerance issue on allergens and Beate, maybe you can somehow introduce the comments in the text hereafter with regard to ARfD? I leave the comments of my colleagues in for you to see and use)</w:t>
      </w:r>
      <w:r>
        <w:br/>
      </w:r>
      <w:r>
        <w:br/>
        <w:t xml:space="preserve">FoodDrinkEurope respectfully requests further clarification on the point of withdrawal versus recall and also on the aspects of notification in the RASFF system. It is therefore appropriate that the interpretation guidelines may need further review. </w:t>
      </w:r>
      <w:r>
        <w:br/>
        <w:t xml:space="preserve">FoodDrinkEurope is of the opinion that the provision works well together with the guidance from the standing committee on the implementation of art. 11, 12, 14, 17, 18, 19 and 20 (2010). </w:t>
      </w:r>
    </w:p>
    <w:p w:rsidR="00E357CF" w:rsidRDefault="00E357CF" w:rsidP="00E357CF">
      <w:pPr>
        <w:pStyle w:val="ListParagraph"/>
        <w:spacing w:line="360" w:lineRule="auto"/>
      </w:pPr>
      <w:r>
        <w:br/>
        <w:t xml:space="preserve">The provision concerning “injurious to health” requires a scientific assessment rather than a legal assessment, meaning that the assessment concerns how the food affects the consumer and not necessary if, for example, a set maximum limit has been exceeded. This ensures that the food safety assessment is always up to date with the latest scientific developments and doesn’t necessarily require secondary legislation. </w:t>
      </w:r>
    </w:p>
    <w:p w:rsidR="00E357CF" w:rsidRDefault="00E357CF" w:rsidP="00E357CF">
      <w:pPr>
        <w:pStyle w:val="ListParagraph"/>
        <w:spacing w:line="360" w:lineRule="auto"/>
      </w:pPr>
      <w:r>
        <w:br/>
        <w:t xml:space="preserve">The provision is directed to FBOs and provides legal certainty as to when a food is considered unsafe, which is split in two definitions 1) injurious to health, which is to be considered under normal conditions of preparation and consumption and in the context of the information provided to the consumer, and 2) unfit for human consumption, which does not require food to be “unsafe”, but rather relates to the unacceptability of the food. </w:t>
      </w:r>
    </w:p>
    <w:p w:rsidR="002743F3" w:rsidRDefault="00E357CF" w:rsidP="00E357CF">
      <w:r>
        <w:lastRenderedPageBreak/>
        <w:br/>
        <w:t>However, there are examples of different interpretation of the same non-compliance in cross-border incidents, where enforcement authorities in one country require a recall on the basis of an interpretation of article 14 and enforcement authorities in other countries consider that there is no food safety issue in the same incident. Harmonization of the application of the provision could provide more legal certainty and ensure the free movement of food.</w:t>
      </w:r>
      <w:r>
        <w:br/>
      </w:r>
    </w:p>
    <w:sectPr w:rsidR="002743F3" w:rsidSect="00B733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08B" w:rsidRDefault="00C2408B" w:rsidP="00C2408B">
      <w:pPr>
        <w:spacing w:after="0" w:line="240" w:lineRule="auto"/>
      </w:pPr>
      <w:r>
        <w:separator/>
      </w:r>
    </w:p>
  </w:endnote>
  <w:endnote w:type="continuationSeparator" w:id="0">
    <w:p w:rsidR="00C2408B" w:rsidRDefault="00C2408B" w:rsidP="00C24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3A3" w:rsidRDefault="00B73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C2408B" w:rsidRPr="00B733A3" w:rsidRDefault="00B733A3" w:rsidP="00B733A3">
    <w:pPr>
      <w:pStyle w:val="Footer"/>
      <w:jc w:val="right"/>
      <w:rPr>
        <w:rFonts w:ascii="Arial" w:hAnsi="Arial" w:cs="Arial"/>
        <w:color w:val="333399"/>
        <w:sz w:val="18"/>
      </w:rPr>
    </w:pPr>
    <w:r w:rsidRPr="00B733A3">
      <w:rPr>
        <w:rFonts w:ascii="Arial" w:hAnsi="Arial" w:cs="Arial"/>
        <w:color w:val="333399"/>
        <w:sz w:val="18"/>
      </w:rPr>
      <w:fldChar w:fldCharType="begin"/>
    </w:r>
    <w:r w:rsidRPr="00B733A3">
      <w:rPr>
        <w:rFonts w:ascii="Arial" w:hAnsi="Arial" w:cs="Arial"/>
        <w:color w:val="333399"/>
        <w:sz w:val="18"/>
      </w:rPr>
      <w:instrText xml:space="preserve"> PAGE \* MERGEFORMAT </w:instrText>
    </w:r>
    <w:r w:rsidRPr="00B733A3">
      <w:rPr>
        <w:rFonts w:ascii="Arial" w:hAnsi="Arial" w:cs="Arial"/>
        <w:color w:val="333399"/>
        <w:sz w:val="18"/>
      </w:rPr>
      <w:fldChar w:fldCharType="separate"/>
    </w:r>
    <w:r>
      <w:rPr>
        <w:rFonts w:ascii="Arial" w:hAnsi="Arial" w:cs="Arial"/>
        <w:noProof/>
        <w:color w:val="333399"/>
        <w:sz w:val="18"/>
      </w:rPr>
      <w:t>2</w:t>
    </w:r>
    <w:r w:rsidRPr="00B733A3">
      <w:rPr>
        <w:rFonts w:ascii="Arial" w:hAnsi="Arial" w:cs="Arial"/>
        <w:color w:val="333399"/>
        <w:sz w:val="18"/>
      </w:rPr>
      <w:fldChar w:fldCharType="end"/>
    </w:r>
    <w:r w:rsidRPr="00B733A3">
      <w:rPr>
        <w:rFonts w:ascii="Arial" w:hAnsi="Arial" w:cs="Arial"/>
        <w:color w:val="333399"/>
        <w:sz w:val="18"/>
      </w:rPr>
      <w:t>/</w:t>
    </w:r>
    <w:r w:rsidRPr="00B733A3">
      <w:rPr>
        <w:rFonts w:ascii="Arial" w:hAnsi="Arial" w:cs="Arial"/>
        <w:color w:val="333399"/>
        <w:sz w:val="18"/>
      </w:rPr>
      <w:fldChar w:fldCharType="begin"/>
    </w:r>
    <w:r w:rsidRPr="00B733A3">
      <w:rPr>
        <w:rFonts w:ascii="Arial" w:hAnsi="Arial" w:cs="Arial"/>
        <w:color w:val="333399"/>
        <w:sz w:val="18"/>
      </w:rPr>
      <w:instrText xml:space="preserve"> NUMPAGES \* MERGEFORMAT </w:instrText>
    </w:r>
    <w:r w:rsidRPr="00B733A3">
      <w:rPr>
        <w:rFonts w:ascii="Arial" w:hAnsi="Arial" w:cs="Arial"/>
        <w:color w:val="333399"/>
        <w:sz w:val="18"/>
      </w:rPr>
      <w:fldChar w:fldCharType="separate"/>
    </w:r>
    <w:r>
      <w:rPr>
        <w:rFonts w:ascii="Arial" w:hAnsi="Arial" w:cs="Arial"/>
        <w:noProof/>
        <w:color w:val="333399"/>
        <w:sz w:val="18"/>
      </w:rPr>
      <w:t>8</w:t>
    </w:r>
    <w:r w:rsidRPr="00B733A3">
      <w:rPr>
        <w:rFonts w:ascii="Arial" w:hAnsi="Arial"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3A3" w:rsidRPr="00B733A3" w:rsidRDefault="00B733A3" w:rsidP="00B733A3">
    <w:pPr>
      <w:pStyle w:val="Footer"/>
      <w:rPr>
        <w:rFonts w:ascii="Arial" w:hAnsi="Arial" w:cs="Arial"/>
        <w:color w:val="333399"/>
        <w:sz w:val="18"/>
      </w:rPr>
    </w:pPr>
    <w:r w:rsidRPr="00B733A3">
      <w:rPr>
        <w:rFonts w:ascii="Arial" w:hAnsi="Arial" w:cs="Arial"/>
        <w:color w:val="333399"/>
        <w:sz w:val="18"/>
      </w:rPr>
      <w:t>Avenue des Nerviens 9-31 - 1040 Brussels - BELGIUM - Tel. +32 2 514 11 11 </w:t>
    </w:r>
  </w:p>
  <w:p w:rsidR="00B733A3" w:rsidRPr="00B733A3" w:rsidRDefault="00B733A3" w:rsidP="00B733A3">
    <w:pPr>
      <w:pStyle w:val="Footer"/>
      <w:rPr>
        <w:rFonts w:ascii="Arial" w:hAnsi="Arial" w:cs="Arial"/>
        <w:color w:val="333399"/>
        <w:sz w:val="18"/>
      </w:rPr>
    </w:pPr>
    <w:r w:rsidRPr="00B733A3">
      <w:rPr>
        <w:rFonts w:ascii="Arial" w:hAnsi="Arial" w:cs="Arial"/>
        <w:color w:val="333399"/>
        <w:sz w:val="18"/>
      </w:rPr>
      <w:t>info@fooddrinkeurope.eu - www.fooddrinkeurope.eu - ETI Register 75818824519-45</w:t>
    </w:r>
  </w:p>
  <w:p w:rsidR="00C2408B" w:rsidRPr="00B733A3" w:rsidRDefault="00B733A3" w:rsidP="00B733A3">
    <w:pPr>
      <w:pStyle w:val="Footer"/>
      <w:rPr>
        <w:rFonts w:ascii="Arial" w:hAnsi="Arial" w:cs="Arial"/>
        <w:color w:val="333399"/>
        <w:sz w:val="18"/>
      </w:rPr>
    </w:pPr>
    <w:r w:rsidRPr="00B733A3">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08B" w:rsidRDefault="00C2408B" w:rsidP="00C2408B">
      <w:pPr>
        <w:spacing w:after="0" w:line="240" w:lineRule="auto"/>
      </w:pPr>
      <w:r>
        <w:separator/>
      </w:r>
    </w:p>
  </w:footnote>
  <w:footnote w:type="continuationSeparator" w:id="0">
    <w:p w:rsidR="00C2408B" w:rsidRDefault="00C2408B" w:rsidP="00C240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3A3" w:rsidRDefault="00B733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880"/>
    </w:tblGrid>
    <w:tr w:rsidR="00B733A3" w:rsidRPr="00B733A3" w:rsidTr="00B733A3">
      <w:tc>
        <w:tcPr>
          <w:tcW w:w="4750" w:type="dxa"/>
          <w:shd w:val="clear" w:color="auto" w:fill="auto"/>
        </w:tcPr>
        <w:p w:rsidR="00B733A3" w:rsidRPr="00B733A3" w:rsidRDefault="00B733A3" w:rsidP="00B733A3">
          <w:pPr>
            <w:pStyle w:val="Header"/>
            <w:jc w:val="right"/>
            <w:rPr>
              <w:rFonts w:ascii="Arial" w:hAnsi="Arial" w:cs="Arial"/>
              <w:sz w:val="18"/>
            </w:rPr>
          </w:pPr>
          <w:r w:rsidRPr="00B733A3">
            <w:rPr>
              <w:rFonts w:ascii="Arial" w:hAnsi="Arial" w:cs="Arial"/>
              <w:noProof/>
              <w:sz w:val="18"/>
              <w:lang w:val="fr-BE" w:eastAsia="fr-BE"/>
            </w:rPr>
            <w:drawing>
              <wp:inline distT="0" distB="0" distL="0" distR="0" wp14:anchorId="46064A3F" wp14:editId="7A5B200F">
                <wp:extent cx="4114800" cy="847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4750" w:type="dxa"/>
          <w:shd w:val="clear" w:color="auto" w:fill="auto"/>
        </w:tcPr>
        <w:p w:rsidR="00B733A3" w:rsidRPr="00B733A3" w:rsidRDefault="00B733A3" w:rsidP="00B733A3">
          <w:pPr>
            <w:pStyle w:val="Header"/>
            <w:jc w:val="right"/>
            <w:rPr>
              <w:rFonts w:ascii="Arial" w:hAnsi="Arial" w:cs="Arial"/>
              <w:sz w:val="18"/>
            </w:rPr>
          </w:pPr>
        </w:p>
        <w:p w:rsidR="00B733A3" w:rsidRPr="00B733A3" w:rsidRDefault="00B733A3" w:rsidP="00B733A3">
          <w:pPr>
            <w:pStyle w:val="Header"/>
            <w:jc w:val="right"/>
            <w:rPr>
              <w:rFonts w:ascii="Arial" w:hAnsi="Arial" w:cs="Arial"/>
              <w:sz w:val="18"/>
            </w:rPr>
          </w:pPr>
        </w:p>
        <w:p w:rsidR="00B733A3" w:rsidRPr="00B733A3" w:rsidRDefault="00B733A3" w:rsidP="00B733A3">
          <w:pPr>
            <w:pStyle w:val="Header"/>
            <w:jc w:val="right"/>
            <w:rPr>
              <w:rFonts w:ascii="Arial" w:hAnsi="Arial" w:cs="Arial"/>
              <w:sz w:val="18"/>
            </w:rPr>
          </w:pPr>
          <w:r w:rsidRPr="00B733A3">
            <w:rPr>
              <w:rFonts w:ascii="Arial" w:hAnsi="Arial" w:cs="Arial"/>
              <w:sz w:val="18"/>
            </w:rPr>
            <w:t xml:space="preserve"> Annex 2  to FCP/BREGU/003/17E-Draft</w:t>
          </w:r>
        </w:p>
      </w:tc>
    </w:tr>
  </w:tbl>
  <w:p w:rsidR="00C2408B" w:rsidRPr="00B733A3" w:rsidRDefault="00C2408B" w:rsidP="00B733A3">
    <w:pPr>
      <w:pStyle w:val="Header"/>
      <w:jc w:val="right"/>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880"/>
    </w:tblGrid>
    <w:tr w:rsidR="00B733A3" w:rsidRPr="00B733A3" w:rsidTr="00B733A3">
      <w:tc>
        <w:tcPr>
          <w:tcW w:w="4750" w:type="dxa"/>
          <w:shd w:val="clear" w:color="auto" w:fill="auto"/>
        </w:tcPr>
        <w:p w:rsidR="00B733A3" w:rsidRPr="00B733A3" w:rsidRDefault="00B733A3" w:rsidP="00B733A3">
          <w:pPr>
            <w:pStyle w:val="Header"/>
            <w:jc w:val="right"/>
            <w:rPr>
              <w:rFonts w:ascii="Arial" w:hAnsi="Arial" w:cs="Arial"/>
              <w:sz w:val="18"/>
            </w:rPr>
          </w:pPr>
          <w:r w:rsidRPr="00B733A3">
            <w:rPr>
              <w:rFonts w:ascii="Arial" w:hAnsi="Arial" w:cs="Arial"/>
              <w:noProof/>
              <w:sz w:val="18"/>
              <w:lang w:val="fr-BE" w:eastAsia="fr-BE"/>
            </w:rPr>
            <w:drawing>
              <wp:inline distT="0" distB="0" distL="0" distR="0" wp14:anchorId="14E9E31A" wp14:editId="6BBA1577">
                <wp:extent cx="4114800" cy="16859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4750" w:type="dxa"/>
          <w:shd w:val="clear" w:color="auto" w:fill="auto"/>
        </w:tcPr>
        <w:p w:rsidR="00B733A3" w:rsidRPr="00B733A3" w:rsidRDefault="00B733A3" w:rsidP="00B733A3">
          <w:pPr>
            <w:pStyle w:val="Header"/>
            <w:jc w:val="right"/>
            <w:rPr>
              <w:rFonts w:ascii="Arial" w:hAnsi="Arial" w:cs="Arial"/>
              <w:sz w:val="18"/>
            </w:rPr>
          </w:pPr>
        </w:p>
        <w:p w:rsidR="00B733A3" w:rsidRPr="00B733A3" w:rsidRDefault="00B733A3" w:rsidP="00B733A3">
          <w:pPr>
            <w:pStyle w:val="Header"/>
            <w:jc w:val="right"/>
            <w:rPr>
              <w:rFonts w:ascii="Arial" w:hAnsi="Arial" w:cs="Arial"/>
              <w:sz w:val="18"/>
            </w:rPr>
          </w:pPr>
        </w:p>
        <w:p w:rsidR="00B733A3" w:rsidRPr="00B733A3" w:rsidRDefault="00B733A3" w:rsidP="00B733A3">
          <w:pPr>
            <w:pStyle w:val="Header"/>
            <w:jc w:val="right"/>
            <w:rPr>
              <w:rFonts w:ascii="Arial" w:hAnsi="Arial" w:cs="Arial"/>
              <w:sz w:val="18"/>
            </w:rPr>
          </w:pPr>
          <w:r w:rsidRPr="00B733A3">
            <w:rPr>
              <w:rFonts w:ascii="Arial" w:hAnsi="Arial" w:cs="Arial"/>
              <w:sz w:val="18"/>
            </w:rPr>
            <w:t xml:space="preserve"> Annex 2  to FCP/BREGU/003/17E-Draft</w:t>
          </w:r>
        </w:p>
      </w:tc>
    </w:tr>
  </w:tbl>
  <w:p w:rsidR="00C2408B" w:rsidRPr="00B733A3" w:rsidRDefault="00C2408B" w:rsidP="00B733A3">
    <w:pPr>
      <w:pStyle w:val="Header"/>
      <w:jc w:val="right"/>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92DFE"/>
    <w:multiLevelType w:val="hybridMultilevel"/>
    <w:tmpl w:val="7D3E1EDE"/>
    <w:lvl w:ilvl="0" w:tplc="0409000F">
      <w:start w:val="1"/>
      <w:numFmt w:val="decimal"/>
      <w:lvlText w:val="%1."/>
      <w:lvlJc w:val="left"/>
      <w:pPr>
        <w:ind w:left="720" w:hanging="360"/>
      </w:pPr>
    </w:lvl>
    <w:lvl w:ilvl="1" w:tplc="04090019">
      <w:start w:val="1"/>
      <w:numFmt w:val="lowerLetter"/>
      <w:lvlText w:val="%2."/>
      <w:lvlJc w:val="left"/>
      <w:pPr>
        <w:ind w:left="149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7CF"/>
    <w:rsid w:val="002743F3"/>
    <w:rsid w:val="00B733A3"/>
    <w:rsid w:val="00C2408B"/>
    <w:rsid w:val="00E35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7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7CF"/>
    <w:pPr>
      <w:ind w:left="720"/>
      <w:contextualSpacing/>
    </w:pPr>
  </w:style>
  <w:style w:type="character" w:styleId="CommentReference">
    <w:name w:val="annotation reference"/>
    <w:basedOn w:val="DefaultParagraphFont"/>
    <w:uiPriority w:val="99"/>
    <w:semiHidden/>
    <w:unhideWhenUsed/>
    <w:rsid w:val="00E357CF"/>
    <w:rPr>
      <w:sz w:val="16"/>
      <w:szCs w:val="16"/>
    </w:rPr>
  </w:style>
  <w:style w:type="paragraph" w:styleId="CommentText">
    <w:name w:val="annotation text"/>
    <w:basedOn w:val="Normal"/>
    <w:link w:val="CommentTextChar"/>
    <w:uiPriority w:val="99"/>
    <w:semiHidden/>
    <w:unhideWhenUsed/>
    <w:rsid w:val="00E357CF"/>
    <w:pPr>
      <w:spacing w:line="240" w:lineRule="auto"/>
    </w:pPr>
    <w:rPr>
      <w:sz w:val="20"/>
      <w:szCs w:val="20"/>
    </w:rPr>
  </w:style>
  <w:style w:type="character" w:customStyle="1" w:styleId="CommentTextChar">
    <w:name w:val="Comment Text Char"/>
    <w:basedOn w:val="DefaultParagraphFont"/>
    <w:link w:val="CommentText"/>
    <w:uiPriority w:val="99"/>
    <w:semiHidden/>
    <w:rsid w:val="00E357CF"/>
    <w:rPr>
      <w:sz w:val="20"/>
      <w:szCs w:val="20"/>
    </w:rPr>
  </w:style>
  <w:style w:type="paragraph" w:styleId="BalloonText">
    <w:name w:val="Balloon Text"/>
    <w:basedOn w:val="Normal"/>
    <w:link w:val="BalloonTextChar"/>
    <w:uiPriority w:val="99"/>
    <w:semiHidden/>
    <w:unhideWhenUsed/>
    <w:rsid w:val="00E35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7CF"/>
    <w:rPr>
      <w:rFonts w:ascii="Segoe UI" w:hAnsi="Segoe UI" w:cs="Segoe UI"/>
      <w:sz w:val="18"/>
      <w:szCs w:val="18"/>
    </w:rPr>
  </w:style>
  <w:style w:type="paragraph" w:styleId="Header">
    <w:name w:val="header"/>
    <w:basedOn w:val="Normal"/>
    <w:link w:val="HeaderChar"/>
    <w:uiPriority w:val="99"/>
    <w:unhideWhenUsed/>
    <w:rsid w:val="00C240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08B"/>
  </w:style>
  <w:style w:type="paragraph" w:styleId="Footer">
    <w:name w:val="footer"/>
    <w:basedOn w:val="Normal"/>
    <w:link w:val="FooterChar"/>
    <w:uiPriority w:val="99"/>
    <w:unhideWhenUsed/>
    <w:rsid w:val="00C240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08B"/>
  </w:style>
  <w:style w:type="table" w:styleId="TableGrid">
    <w:name w:val="Table Grid"/>
    <w:basedOn w:val="TableNormal"/>
    <w:uiPriority w:val="59"/>
    <w:rsid w:val="00C24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7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7CF"/>
    <w:pPr>
      <w:ind w:left="720"/>
      <w:contextualSpacing/>
    </w:pPr>
  </w:style>
  <w:style w:type="character" w:styleId="CommentReference">
    <w:name w:val="annotation reference"/>
    <w:basedOn w:val="DefaultParagraphFont"/>
    <w:uiPriority w:val="99"/>
    <w:semiHidden/>
    <w:unhideWhenUsed/>
    <w:rsid w:val="00E357CF"/>
    <w:rPr>
      <w:sz w:val="16"/>
      <w:szCs w:val="16"/>
    </w:rPr>
  </w:style>
  <w:style w:type="paragraph" w:styleId="CommentText">
    <w:name w:val="annotation text"/>
    <w:basedOn w:val="Normal"/>
    <w:link w:val="CommentTextChar"/>
    <w:uiPriority w:val="99"/>
    <w:semiHidden/>
    <w:unhideWhenUsed/>
    <w:rsid w:val="00E357CF"/>
    <w:pPr>
      <w:spacing w:line="240" w:lineRule="auto"/>
    </w:pPr>
    <w:rPr>
      <w:sz w:val="20"/>
      <w:szCs w:val="20"/>
    </w:rPr>
  </w:style>
  <w:style w:type="character" w:customStyle="1" w:styleId="CommentTextChar">
    <w:name w:val="Comment Text Char"/>
    <w:basedOn w:val="DefaultParagraphFont"/>
    <w:link w:val="CommentText"/>
    <w:uiPriority w:val="99"/>
    <w:semiHidden/>
    <w:rsid w:val="00E357CF"/>
    <w:rPr>
      <w:sz w:val="20"/>
      <w:szCs w:val="20"/>
    </w:rPr>
  </w:style>
  <w:style w:type="paragraph" w:styleId="BalloonText">
    <w:name w:val="Balloon Text"/>
    <w:basedOn w:val="Normal"/>
    <w:link w:val="BalloonTextChar"/>
    <w:uiPriority w:val="99"/>
    <w:semiHidden/>
    <w:unhideWhenUsed/>
    <w:rsid w:val="00E35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7CF"/>
    <w:rPr>
      <w:rFonts w:ascii="Segoe UI" w:hAnsi="Segoe UI" w:cs="Segoe UI"/>
      <w:sz w:val="18"/>
      <w:szCs w:val="18"/>
    </w:rPr>
  </w:style>
  <w:style w:type="paragraph" w:styleId="Header">
    <w:name w:val="header"/>
    <w:basedOn w:val="Normal"/>
    <w:link w:val="HeaderChar"/>
    <w:uiPriority w:val="99"/>
    <w:unhideWhenUsed/>
    <w:rsid w:val="00C240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08B"/>
  </w:style>
  <w:style w:type="paragraph" w:styleId="Footer">
    <w:name w:val="footer"/>
    <w:basedOn w:val="Normal"/>
    <w:link w:val="FooterChar"/>
    <w:uiPriority w:val="99"/>
    <w:unhideWhenUsed/>
    <w:rsid w:val="00C240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08B"/>
  </w:style>
  <w:style w:type="table" w:styleId="TableGrid">
    <w:name w:val="Table Grid"/>
    <w:basedOn w:val="TableNormal"/>
    <w:uiPriority w:val="59"/>
    <w:rsid w:val="00C24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2232</Words>
  <Characters>12166</Characters>
  <Application>Microsoft Office Word</Application>
  <DocSecurity>0</DocSecurity>
  <Lines>196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Keane</dc:creator>
  <cp:keywords/>
  <dc:description/>
  <cp:lastModifiedBy>Windows User</cp:lastModifiedBy>
  <cp:revision>2</cp:revision>
  <dcterms:created xsi:type="dcterms:W3CDTF">2017-02-21T10:01:00Z</dcterms:created>
  <dcterms:modified xsi:type="dcterms:W3CDTF">2017-02-21T10:01:00Z</dcterms:modified>
</cp:coreProperties>
</file>