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978C1" w14:textId="311AC707" w:rsidR="00432066" w:rsidRPr="00432066" w:rsidRDefault="00432066" w:rsidP="00432066">
      <w:pPr>
        <w:spacing w:after="0" w:line="240" w:lineRule="auto"/>
        <w:jc w:val="right"/>
        <w:rPr>
          <w:rFonts w:ascii="Tahoma" w:eastAsia="Calibri" w:hAnsi="Tahoma" w:cs="Tahoma"/>
          <w:color w:val="0D1957"/>
          <w:sz w:val="36"/>
          <w:szCs w:val="36"/>
          <w:lang w:val="en-GB" w:eastAsia="fr-BE"/>
        </w:rPr>
      </w:pPr>
      <w:r>
        <w:rPr>
          <w:rFonts w:ascii="Tahoma" w:eastAsia="Calibri" w:hAnsi="Tahoma" w:cs="Tahoma"/>
          <w:color w:val="0D1957"/>
          <w:sz w:val="36"/>
          <w:szCs w:val="36"/>
          <w:lang w:val="en-GB" w:eastAsia="fr-BE"/>
        </w:rPr>
        <w:t>FOR INFO</w:t>
      </w:r>
    </w:p>
    <w:p w14:paraId="158A393E" w14:textId="1C58C541" w:rsidR="00432066" w:rsidRPr="00432066" w:rsidRDefault="00432066" w:rsidP="00432066">
      <w:pPr>
        <w:tabs>
          <w:tab w:val="left" w:pos="7088"/>
        </w:tabs>
        <w:spacing w:after="0" w:line="240" w:lineRule="auto"/>
        <w:jc w:val="right"/>
        <w:rPr>
          <w:rFonts w:ascii="Arial" w:eastAsia="Calibri" w:hAnsi="Arial" w:cs="Arial"/>
          <w:lang w:val="en-GB" w:eastAsia="fr-BE"/>
        </w:rPr>
      </w:pPr>
      <w:r>
        <w:rPr>
          <w:rFonts w:ascii="Arial" w:eastAsia="Calibri" w:hAnsi="Arial" w:cs="Arial"/>
          <w:lang w:val="en-GB" w:eastAsia="fr-BE"/>
        </w:rPr>
        <w:t>21</w:t>
      </w:r>
      <w:r w:rsidRPr="00432066">
        <w:rPr>
          <w:rFonts w:ascii="Arial" w:eastAsia="Calibri" w:hAnsi="Arial" w:cs="Arial"/>
          <w:lang w:val="en-GB" w:eastAsia="fr-BE"/>
        </w:rPr>
        <w:t xml:space="preserve"> </w:t>
      </w:r>
      <w:r>
        <w:rPr>
          <w:rFonts w:ascii="Arial" w:eastAsia="Calibri" w:hAnsi="Arial" w:cs="Arial"/>
          <w:lang w:val="en-GB" w:eastAsia="fr-BE"/>
        </w:rPr>
        <w:t>February 2017</w:t>
      </w:r>
    </w:p>
    <w:p w14:paraId="61A39D00" w14:textId="149422C3" w:rsidR="00A26783" w:rsidRDefault="00432066">
      <w:pPr>
        <w:rPr>
          <w:rFonts w:ascii="Arial" w:eastAsia="Times New Roman" w:hAnsi="Arial" w:cs="Times New Roman"/>
          <w:b/>
          <w:bCs/>
          <w:color w:val="0D1957"/>
          <w:kern w:val="32"/>
          <w:sz w:val="28"/>
          <w:szCs w:val="32"/>
          <w:lang w:val="en-GB" w:eastAsia="en-GB"/>
        </w:rPr>
      </w:pPr>
      <w:r>
        <w:rPr>
          <w:rFonts w:ascii="Arial" w:eastAsia="Times New Roman" w:hAnsi="Arial" w:cs="Times New Roman"/>
          <w:b/>
          <w:bCs/>
          <w:color w:val="0D1957"/>
          <w:kern w:val="32"/>
          <w:sz w:val="28"/>
          <w:szCs w:val="32"/>
          <w:lang w:val="en-GB" w:eastAsia="en-GB"/>
        </w:rPr>
        <w:br/>
      </w:r>
      <w:r w:rsidR="0010275C" w:rsidRPr="001E30FF">
        <w:rPr>
          <w:rFonts w:ascii="Arial" w:eastAsia="Times New Roman" w:hAnsi="Arial" w:cs="Times New Roman"/>
          <w:b/>
          <w:bCs/>
          <w:color w:val="0D1957"/>
          <w:kern w:val="32"/>
          <w:sz w:val="28"/>
          <w:szCs w:val="32"/>
          <w:lang w:val="en-GB" w:eastAsia="en-GB"/>
        </w:rPr>
        <w:t xml:space="preserve">EU-Canada CETA </w:t>
      </w:r>
      <w:r w:rsidR="001E30FF">
        <w:rPr>
          <w:rFonts w:ascii="Arial" w:eastAsia="Times New Roman" w:hAnsi="Arial" w:cs="Times New Roman"/>
          <w:b/>
          <w:bCs/>
          <w:color w:val="0D1957"/>
          <w:kern w:val="32"/>
          <w:sz w:val="28"/>
          <w:szCs w:val="32"/>
          <w:lang w:val="en-GB" w:eastAsia="en-GB"/>
        </w:rPr>
        <w:t>–</w:t>
      </w:r>
      <w:r w:rsidR="0010275C" w:rsidRPr="001E30FF">
        <w:rPr>
          <w:rFonts w:ascii="Arial" w:eastAsia="Times New Roman" w:hAnsi="Arial" w:cs="Times New Roman"/>
          <w:b/>
          <w:bCs/>
          <w:color w:val="0D1957"/>
          <w:kern w:val="32"/>
          <w:sz w:val="28"/>
          <w:szCs w:val="32"/>
          <w:lang w:val="en-GB" w:eastAsia="en-GB"/>
        </w:rPr>
        <w:t xml:space="preserve"> </w:t>
      </w:r>
      <w:r w:rsidR="001E30FF">
        <w:rPr>
          <w:rFonts w:ascii="Arial" w:eastAsia="Times New Roman" w:hAnsi="Arial" w:cs="Times New Roman"/>
          <w:b/>
          <w:bCs/>
          <w:color w:val="0D1957"/>
          <w:kern w:val="32"/>
          <w:sz w:val="28"/>
          <w:szCs w:val="32"/>
          <w:lang w:val="en-GB" w:eastAsia="en-GB"/>
        </w:rPr>
        <w:t>Timeline, next s</w:t>
      </w:r>
      <w:r w:rsidR="00A26783" w:rsidRPr="001E30FF">
        <w:rPr>
          <w:rFonts w:ascii="Arial" w:eastAsia="Times New Roman" w:hAnsi="Arial" w:cs="Times New Roman"/>
          <w:b/>
          <w:bCs/>
          <w:color w:val="0D1957"/>
          <w:kern w:val="32"/>
          <w:sz w:val="28"/>
          <w:szCs w:val="32"/>
          <w:lang w:val="en-GB" w:eastAsia="en-GB"/>
        </w:rPr>
        <w:t xml:space="preserve">teps </w:t>
      </w:r>
      <w:r w:rsidR="00B85641" w:rsidRPr="001E30FF">
        <w:rPr>
          <w:rFonts w:ascii="Arial" w:eastAsia="Times New Roman" w:hAnsi="Arial" w:cs="Times New Roman"/>
          <w:b/>
          <w:bCs/>
          <w:color w:val="0D1957"/>
          <w:kern w:val="32"/>
          <w:sz w:val="28"/>
          <w:szCs w:val="32"/>
          <w:lang w:val="en-GB" w:eastAsia="en-GB"/>
        </w:rPr>
        <w:t>and practical information for EU food and drink exporters</w:t>
      </w:r>
    </w:p>
    <w:p w14:paraId="5A1BD9AA" w14:textId="1CA96EB5" w:rsidR="001E30FF" w:rsidRPr="001E30FF" w:rsidRDefault="00F02BD4" w:rsidP="001E30FF">
      <w:pPr>
        <w:pStyle w:val="ListParagraph"/>
        <w:ind w:left="0"/>
        <w:rPr>
          <w:b/>
          <w:u w:val="single"/>
        </w:rPr>
      </w:pPr>
      <w:r>
        <w:rPr>
          <w:b/>
          <w:u w:val="single"/>
        </w:rPr>
        <w:br/>
      </w:r>
      <w:r w:rsidR="001E30FF" w:rsidRPr="001E30FF">
        <w:rPr>
          <w:b/>
          <w:u w:val="single"/>
        </w:rPr>
        <w:t>Timeline and next steps</w:t>
      </w:r>
      <w:r w:rsidR="001E30FF" w:rsidRPr="001E30FF">
        <w:rPr>
          <w:b/>
          <w:u w:val="single"/>
        </w:rPr>
        <w:br/>
      </w:r>
    </w:p>
    <w:p w14:paraId="5CCAF113" w14:textId="77777777" w:rsidR="00C1750C" w:rsidRDefault="00C1750C" w:rsidP="00C1750C">
      <w:pPr>
        <w:pStyle w:val="ListParagraph"/>
        <w:numPr>
          <w:ilvl w:val="0"/>
          <w:numId w:val="3"/>
        </w:numPr>
      </w:pPr>
      <w:r w:rsidRPr="00C1750C">
        <w:t>30 October</w:t>
      </w:r>
      <w:r>
        <w:t xml:space="preserve"> 2016</w:t>
      </w:r>
      <w:r w:rsidRPr="00C1750C">
        <w:t>: the EU and Canada signed the CETA agreement</w:t>
      </w:r>
    </w:p>
    <w:p w14:paraId="5D8C0885" w14:textId="77777777" w:rsidR="00AB215C" w:rsidRDefault="00C1750C" w:rsidP="00AB215C">
      <w:pPr>
        <w:pStyle w:val="ListParagraph"/>
        <w:numPr>
          <w:ilvl w:val="0"/>
          <w:numId w:val="3"/>
        </w:numPr>
      </w:pPr>
      <w:r>
        <w:t xml:space="preserve">15 February 2017: the European Parliament gave its consent </w:t>
      </w:r>
    </w:p>
    <w:p w14:paraId="60AE4E7E" w14:textId="77777777" w:rsidR="006641B8" w:rsidRDefault="00C1750C" w:rsidP="00AB215C">
      <w:pPr>
        <w:pStyle w:val="ListParagraph"/>
        <w:numPr>
          <w:ilvl w:val="0"/>
          <w:numId w:val="3"/>
        </w:numPr>
      </w:pPr>
      <w:r w:rsidRPr="00AB215C">
        <w:rPr>
          <w:b/>
        </w:rPr>
        <w:t>Provisional application of CETA</w:t>
      </w:r>
      <w:r>
        <w:t xml:space="preserve">: </w:t>
      </w:r>
      <w:r w:rsidR="00053DCC">
        <w:t>The European Parliament consent paves the way for CETA to enter</w:t>
      </w:r>
      <w:r>
        <w:t xml:space="preserve"> into force</w:t>
      </w:r>
      <w:r w:rsidR="00053DCC">
        <w:t xml:space="preserve"> provisionally. </w:t>
      </w:r>
      <w:r w:rsidR="00F27D79">
        <w:t xml:space="preserve">Both parties have to notify each other that they have completed the necessary steps for provisional application to take effect. </w:t>
      </w:r>
      <w:r w:rsidR="00F27D79" w:rsidRPr="00C75C24">
        <w:rPr>
          <w:u w:val="single"/>
        </w:rPr>
        <w:t>Provisional application will bring</w:t>
      </w:r>
      <w:r w:rsidR="00053DCC" w:rsidRPr="00C75C24">
        <w:rPr>
          <w:u w:val="single"/>
        </w:rPr>
        <w:t xml:space="preserve"> most parts of CETA</w:t>
      </w:r>
      <w:r w:rsidR="00F27D79" w:rsidRPr="00C75C24">
        <w:rPr>
          <w:u w:val="single"/>
        </w:rPr>
        <w:t xml:space="preserve"> into </w:t>
      </w:r>
      <w:r w:rsidR="00AB215C" w:rsidRPr="00C75C24">
        <w:rPr>
          <w:u w:val="single"/>
        </w:rPr>
        <w:t>force i.e</w:t>
      </w:r>
      <w:r w:rsidR="00CC2C56" w:rsidRPr="00C75C24">
        <w:rPr>
          <w:u w:val="single"/>
        </w:rPr>
        <w:t>. all parts falling under the EU’s exclusive competence</w:t>
      </w:r>
      <w:r w:rsidR="00AB215C">
        <w:t xml:space="preserve"> (approx. 90 % of the agreement; this includes</w:t>
      </w:r>
      <w:r w:rsidR="003A6F6E">
        <w:t xml:space="preserve"> tariffs on goods</w:t>
      </w:r>
      <w:r w:rsidR="00AB215C">
        <w:t>)</w:t>
      </w:r>
      <w:r w:rsidR="00053DCC" w:rsidRPr="000472EA">
        <w:t>.</w:t>
      </w:r>
      <w:r w:rsidR="00053DCC">
        <w:t xml:space="preserve"> </w:t>
      </w:r>
    </w:p>
    <w:p w14:paraId="76687F7F" w14:textId="77777777" w:rsidR="006641B8" w:rsidRDefault="006641B8" w:rsidP="006641B8">
      <w:pPr>
        <w:pStyle w:val="ListParagraph"/>
        <w:ind w:left="360"/>
      </w:pPr>
    </w:p>
    <w:p w14:paraId="25342867" w14:textId="1A061536" w:rsidR="000472EA" w:rsidRDefault="00C1750C" w:rsidP="006641B8">
      <w:pPr>
        <w:pStyle w:val="ListParagraph"/>
        <w:ind w:left="360"/>
      </w:pPr>
      <w:r>
        <w:t>In October 2016, the Council adopted a decision stipulating which provisions are excluded from provisional application</w:t>
      </w:r>
      <w:r w:rsidR="00053DCC">
        <w:t xml:space="preserve">. </w:t>
      </w:r>
      <w:r w:rsidR="000472EA">
        <w:t xml:space="preserve">The main exclusions from </w:t>
      </w:r>
      <w:r w:rsidR="00F27D79">
        <w:t xml:space="preserve">the scope of </w:t>
      </w:r>
      <w:r w:rsidR="000472EA">
        <w:t>provisional application</w:t>
      </w:r>
      <w:r>
        <w:t xml:space="preserve"> </w:t>
      </w:r>
      <w:r w:rsidR="000472EA">
        <w:t>are</w:t>
      </w:r>
      <w:r>
        <w:t xml:space="preserve">: </w:t>
      </w:r>
    </w:p>
    <w:p w14:paraId="5CFEB934" w14:textId="77777777" w:rsidR="000472EA" w:rsidRDefault="00C1750C" w:rsidP="000472EA">
      <w:pPr>
        <w:pStyle w:val="ListParagraph"/>
        <w:numPr>
          <w:ilvl w:val="1"/>
          <w:numId w:val="5"/>
        </w:numPr>
      </w:pPr>
      <w:r>
        <w:t>Investment protection</w:t>
      </w:r>
      <w:r w:rsidR="0059069E">
        <w:t xml:space="preserve"> </w:t>
      </w:r>
    </w:p>
    <w:p w14:paraId="3313EC2A" w14:textId="77777777" w:rsidR="000472EA" w:rsidRDefault="000472EA" w:rsidP="000472EA">
      <w:pPr>
        <w:pStyle w:val="ListParagraph"/>
        <w:numPr>
          <w:ilvl w:val="1"/>
          <w:numId w:val="5"/>
        </w:numPr>
      </w:pPr>
      <w:r>
        <w:t>I</w:t>
      </w:r>
      <w:r w:rsidR="00C1750C">
        <w:t>nvestment market access with regards to portfolio investment</w:t>
      </w:r>
    </w:p>
    <w:p w14:paraId="35DAD01E" w14:textId="0005CCD1" w:rsidR="00C043C6" w:rsidRDefault="000472EA" w:rsidP="00C043C6">
      <w:pPr>
        <w:pStyle w:val="ListParagraph"/>
        <w:numPr>
          <w:ilvl w:val="1"/>
          <w:numId w:val="5"/>
        </w:numPr>
      </w:pPr>
      <w:r>
        <w:t xml:space="preserve">the Investment Court System </w:t>
      </w:r>
    </w:p>
    <w:p w14:paraId="4E645F33" w14:textId="77777777" w:rsidR="00C043C6" w:rsidRPr="00C043C6" w:rsidRDefault="00C043C6" w:rsidP="00C043C6">
      <w:pPr>
        <w:pStyle w:val="ListParagraph"/>
        <w:ind w:left="1080"/>
      </w:pPr>
    </w:p>
    <w:p w14:paraId="0D844D4D" w14:textId="52DBDF9C" w:rsidR="003F2D28" w:rsidRDefault="0048788B" w:rsidP="00C043C6">
      <w:pPr>
        <w:pStyle w:val="ListParagraph"/>
        <w:numPr>
          <w:ilvl w:val="0"/>
          <w:numId w:val="6"/>
        </w:numPr>
      </w:pPr>
      <w:r>
        <w:t xml:space="preserve">According to a </w:t>
      </w:r>
      <w:hyperlink r:id="rId9" w:history="1">
        <w:r w:rsidRPr="0048788B">
          <w:rPr>
            <w:rStyle w:val="Hyperlink"/>
          </w:rPr>
          <w:t>15 February EP Press Release</w:t>
        </w:r>
      </w:hyperlink>
      <w:r>
        <w:t xml:space="preserve">, </w:t>
      </w:r>
      <w:r w:rsidRPr="003F2D28">
        <w:rPr>
          <w:i/>
        </w:rPr>
        <w:t xml:space="preserve">“The CETA deal could apply provisionally on the first day of the second month following the date both sides have notified each other that they completed all necessary internal procedures. MEPs expect this to be the case </w:t>
      </w:r>
      <w:r w:rsidRPr="007A68EF">
        <w:rPr>
          <w:b/>
          <w:i/>
          <w:u w:val="single"/>
        </w:rPr>
        <w:t>on 1 April 2017 at the earliest</w:t>
      </w:r>
      <w:r w:rsidRPr="007A68EF">
        <w:rPr>
          <w:b/>
          <w:i/>
        </w:rPr>
        <w:t>.</w:t>
      </w:r>
      <w:r w:rsidRPr="003F2D28">
        <w:rPr>
          <w:i/>
        </w:rPr>
        <w:t>”</w:t>
      </w:r>
      <w:r>
        <w:t xml:space="preserve"> </w:t>
      </w:r>
      <w:r w:rsidR="001C0B98">
        <w:br/>
      </w:r>
    </w:p>
    <w:p w14:paraId="6F7FB97A" w14:textId="66F02A77" w:rsidR="00CD1F7F" w:rsidRPr="003A7DDB" w:rsidRDefault="003F2D28" w:rsidP="00C043C6">
      <w:pPr>
        <w:pStyle w:val="ListParagraph"/>
        <w:numPr>
          <w:ilvl w:val="0"/>
          <w:numId w:val="6"/>
        </w:numPr>
      </w:pPr>
      <w:r w:rsidRPr="003F2D28">
        <w:rPr>
          <w:b/>
        </w:rPr>
        <w:t>CETA tariff schedule</w:t>
      </w:r>
      <w:r w:rsidRPr="00A26783">
        <w:t xml:space="preserve"> </w:t>
      </w:r>
      <w:r>
        <w:br/>
        <w:t>How to read the CETA schedule: “</w:t>
      </w:r>
      <w:r w:rsidRPr="00445448">
        <w:t>In terms of tariff elimination, CETA uses a negative list approach. This means that, unless a tariff code is listed in a Party’s Tariff Schedule in CETA, the tariff applicable on the import of that product will be eliminated immediately upon entry into force of CETA.</w:t>
      </w:r>
      <w:r>
        <w:t xml:space="preserve">” </w:t>
      </w:r>
      <w:r>
        <w:br/>
      </w:r>
      <w:r w:rsidR="00C043C6">
        <w:br/>
      </w:r>
      <w:r w:rsidR="00B70E29">
        <w:t xml:space="preserve">EU and Canadian tariff concessions: </w:t>
      </w:r>
      <w:hyperlink r:id="rId10" w:history="1">
        <w:r w:rsidRPr="005202E7">
          <w:rPr>
            <w:rStyle w:val="Hyperlink"/>
          </w:rPr>
          <w:t>http://www.international.gc.ca/gac-amc/campaign-campagne/ceta-aecg/find_your_tariff_rate-trouvez_votre_taux_tarifaire.aspx?lang=eng</w:t>
        </w:r>
      </w:hyperlink>
      <w:r w:rsidRPr="00C043C6">
        <w:rPr>
          <w:u w:val="single"/>
        </w:rPr>
        <w:t xml:space="preserve"> </w:t>
      </w:r>
    </w:p>
    <w:p w14:paraId="16C427B6" w14:textId="77777777" w:rsidR="003A7DDB" w:rsidRPr="00CD1F7F" w:rsidRDefault="003A7DDB" w:rsidP="003A7DDB">
      <w:pPr>
        <w:pStyle w:val="ListParagraph"/>
        <w:ind w:left="360"/>
      </w:pPr>
    </w:p>
    <w:p w14:paraId="279629F0" w14:textId="269A0860" w:rsidR="003F2D28" w:rsidRPr="00495FA6" w:rsidRDefault="00CD1F7F" w:rsidP="003A7DDB">
      <w:pPr>
        <w:pStyle w:val="ListParagraph"/>
        <w:numPr>
          <w:ilvl w:val="0"/>
          <w:numId w:val="5"/>
        </w:numPr>
      </w:pPr>
      <w:r>
        <w:lastRenderedPageBreak/>
        <w:t xml:space="preserve">The full text of the CETA agreement: </w:t>
      </w:r>
      <w:hyperlink r:id="rId11" w:history="1">
        <w:r w:rsidRPr="005202E7">
          <w:rPr>
            <w:rStyle w:val="Hyperlink"/>
          </w:rPr>
          <w:t>http://trade.ec.europa.eu/doclib/html/152806.htm</w:t>
        </w:r>
      </w:hyperlink>
      <w:r>
        <w:t xml:space="preserve"> </w:t>
      </w:r>
      <w:r w:rsidR="00BB66B5" w:rsidRPr="003A7DDB">
        <w:rPr>
          <w:u w:val="single"/>
        </w:rPr>
        <w:br/>
      </w:r>
    </w:p>
    <w:p w14:paraId="1B7632D9" w14:textId="77777777" w:rsidR="00EC7F5E" w:rsidRDefault="00C1750C" w:rsidP="00C043C6">
      <w:pPr>
        <w:pStyle w:val="ListParagraph"/>
        <w:numPr>
          <w:ilvl w:val="0"/>
          <w:numId w:val="5"/>
        </w:numPr>
      </w:pPr>
      <w:r>
        <w:t xml:space="preserve">Full ratification </w:t>
      </w:r>
      <w:r w:rsidR="00053DCC">
        <w:t xml:space="preserve">and entry into force </w:t>
      </w:r>
      <w:r>
        <w:t>of CETA</w:t>
      </w:r>
      <w:r w:rsidR="00053DCC">
        <w:t xml:space="preserve"> (may take several years to complete)</w:t>
      </w:r>
      <w:r>
        <w:t xml:space="preserve">: </w:t>
      </w:r>
      <w:r w:rsidR="00F10ECD">
        <w:t xml:space="preserve">As the European Commission decided to propose CETA for signature as a </w:t>
      </w:r>
      <w:r w:rsidR="00F10ECD" w:rsidRPr="006D72E1">
        <w:t>‘mixed agreement’</w:t>
      </w:r>
      <w:r w:rsidR="00F10ECD">
        <w:t xml:space="preserve">, </w:t>
      </w:r>
      <w:r w:rsidRPr="00C1750C">
        <w:t xml:space="preserve">CETA will be fully ratified once all </w:t>
      </w:r>
      <w:r w:rsidR="0048788B">
        <w:t xml:space="preserve">national and regional </w:t>
      </w:r>
      <w:r w:rsidRPr="00C1750C">
        <w:t xml:space="preserve">parliaments in the </w:t>
      </w:r>
      <w:r w:rsidR="0048788B">
        <w:t xml:space="preserve">EU </w:t>
      </w:r>
      <w:r w:rsidRPr="00C1750C">
        <w:t>Member States approve the deal.</w:t>
      </w:r>
      <w:r w:rsidR="00945B3A">
        <w:br/>
      </w:r>
    </w:p>
    <w:p w14:paraId="38F16FAF" w14:textId="3414C1BD" w:rsidR="005063C8" w:rsidRPr="00C1750C" w:rsidRDefault="005B20F6" w:rsidP="005B20F6">
      <w:pPr>
        <w:pStyle w:val="ListParagraph"/>
        <w:ind w:left="360"/>
        <w:jc w:val="center"/>
      </w:pPr>
      <w:r>
        <w:t>*****</w:t>
      </w:r>
      <w:r w:rsidR="003B0492">
        <w:br/>
      </w:r>
    </w:p>
    <w:tbl>
      <w:tblPr>
        <w:tblStyle w:val="TableGrid"/>
        <w:tblW w:w="0" w:type="auto"/>
        <w:tblLook w:val="04A0" w:firstRow="1" w:lastRow="0" w:firstColumn="1" w:lastColumn="0" w:noHBand="0" w:noVBand="1"/>
      </w:tblPr>
      <w:tblGrid>
        <w:gridCol w:w="9350"/>
      </w:tblGrid>
      <w:tr w:rsidR="00487E6F" w14:paraId="028FFE71" w14:textId="77777777" w:rsidTr="00A876D2">
        <w:tc>
          <w:tcPr>
            <w:tcW w:w="9350" w:type="dxa"/>
            <w:shd w:val="clear" w:color="auto" w:fill="92D050"/>
          </w:tcPr>
          <w:p w14:paraId="0F491AA6" w14:textId="307CF5D0" w:rsidR="00487E6F" w:rsidRPr="00487E6F" w:rsidRDefault="00611970" w:rsidP="00BF595E">
            <w:pPr>
              <w:pStyle w:val="ListParagraph"/>
              <w:ind w:left="-113"/>
              <w:rPr>
                <w:b/>
              </w:rPr>
            </w:pPr>
            <w:r>
              <w:rPr>
                <w:b/>
              </w:rPr>
              <w:t>Practical i</w:t>
            </w:r>
            <w:r w:rsidR="00487E6F" w:rsidRPr="00487E6F">
              <w:rPr>
                <w:b/>
              </w:rPr>
              <w:t xml:space="preserve">nformation for EU </w:t>
            </w:r>
            <w:r w:rsidR="001825AD">
              <w:rPr>
                <w:b/>
              </w:rPr>
              <w:t xml:space="preserve">food and drink </w:t>
            </w:r>
            <w:r>
              <w:rPr>
                <w:b/>
              </w:rPr>
              <w:t>exporters</w:t>
            </w:r>
          </w:p>
        </w:tc>
      </w:tr>
      <w:tr w:rsidR="00487E6F" w14:paraId="2E7135A0" w14:textId="77777777" w:rsidTr="00487E6F">
        <w:tc>
          <w:tcPr>
            <w:tcW w:w="9350" w:type="dxa"/>
          </w:tcPr>
          <w:p w14:paraId="5DA30D3B" w14:textId="77777777" w:rsidR="001825AD" w:rsidRDefault="001825AD" w:rsidP="001825AD">
            <w:pPr>
              <w:pStyle w:val="ListParagraph"/>
              <w:ind w:left="360"/>
            </w:pPr>
          </w:p>
          <w:p w14:paraId="590AD258" w14:textId="79A76C82" w:rsidR="00762EB7" w:rsidRDefault="00762EB7" w:rsidP="00D31791">
            <w:pPr>
              <w:pStyle w:val="ListParagraph"/>
              <w:numPr>
                <w:ilvl w:val="0"/>
                <w:numId w:val="8"/>
              </w:numPr>
            </w:pPr>
            <w:r w:rsidRPr="00762EB7">
              <w:t>How to read the CETA schedule</w:t>
            </w:r>
            <w:r>
              <w:br/>
            </w:r>
            <w:hyperlink r:id="rId12" w:history="1">
              <w:r w:rsidRPr="00BA39AD">
                <w:rPr>
                  <w:rStyle w:val="Hyperlink"/>
                </w:rPr>
                <w:t>http://www.international.gc.ca/gac-amc/campaign-campagne/ceta-aecg/find_your_tariff_rate-trouvez_votre_taux_tarifaire.aspx?lang=eng</w:t>
              </w:r>
            </w:hyperlink>
            <w:r>
              <w:br/>
            </w:r>
          </w:p>
          <w:p w14:paraId="60134F99" w14:textId="0590C856" w:rsidR="00E70AF7" w:rsidRPr="00E70AF7" w:rsidRDefault="001825AD" w:rsidP="00E70AF7">
            <w:pPr>
              <w:pStyle w:val="ListParagraph"/>
              <w:numPr>
                <w:ilvl w:val="0"/>
                <w:numId w:val="8"/>
              </w:numPr>
              <w:rPr>
                <w:rStyle w:val="Hyperlink"/>
                <w:color w:val="auto"/>
                <w:u w:val="none"/>
              </w:rPr>
            </w:pPr>
            <w:r w:rsidRPr="001825AD">
              <w:t>Step-by-Step Guide to Importing Commercial Goods into Canada</w:t>
            </w:r>
            <w:r>
              <w:br/>
            </w:r>
            <w:hyperlink r:id="rId13" w:history="1">
              <w:r w:rsidRPr="005202E7">
                <w:rPr>
                  <w:rStyle w:val="Hyperlink"/>
                </w:rPr>
                <w:t>http://www.cbsa-asfc.gc.ca/import/guide-eng.html</w:t>
              </w:r>
            </w:hyperlink>
          </w:p>
          <w:p w14:paraId="7638C4AC" w14:textId="77777777" w:rsidR="001825AD" w:rsidRDefault="001825AD" w:rsidP="001825AD"/>
          <w:p w14:paraId="54C0FC54" w14:textId="7ADDE22F" w:rsidR="001825AD" w:rsidRPr="001825AD" w:rsidRDefault="001825AD" w:rsidP="001825AD">
            <w:pPr>
              <w:rPr>
                <w:u w:val="single"/>
              </w:rPr>
            </w:pPr>
            <w:r w:rsidRPr="001825AD">
              <w:rPr>
                <w:u w:val="single"/>
              </w:rPr>
              <w:t>Canadian Food Inspection Agency</w:t>
            </w:r>
          </w:p>
          <w:p w14:paraId="0A9D0F8A" w14:textId="74D9ABDC" w:rsidR="001825AD" w:rsidRDefault="001825AD" w:rsidP="001825AD">
            <w:pPr>
              <w:pStyle w:val="ListParagraph"/>
              <w:numPr>
                <w:ilvl w:val="0"/>
                <w:numId w:val="1"/>
              </w:numPr>
            </w:pPr>
            <w:r>
              <w:t xml:space="preserve">Food Imports </w:t>
            </w:r>
            <w:r>
              <w:br/>
            </w:r>
            <w:hyperlink r:id="rId14" w:history="1">
              <w:r w:rsidRPr="005202E7">
                <w:rPr>
                  <w:rStyle w:val="Hyperlink"/>
                </w:rPr>
                <w:t>http://inspection.gc.ca/food/imports/eng/1323714792490/1323715949260</w:t>
              </w:r>
            </w:hyperlink>
            <w:r>
              <w:t xml:space="preserve"> </w:t>
            </w:r>
            <w:r>
              <w:br/>
            </w:r>
          </w:p>
          <w:p w14:paraId="4669DF9F" w14:textId="22D58846" w:rsidR="001825AD" w:rsidRDefault="001825AD" w:rsidP="001825AD">
            <w:pPr>
              <w:pStyle w:val="ListParagraph"/>
              <w:numPr>
                <w:ilvl w:val="0"/>
                <w:numId w:val="1"/>
              </w:numPr>
            </w:pPr>
            <w:r w:rsidRPr="00495FA6">
              <w:t>Automated Import Reference System (AIRS)</w:t>
            </w:r>
            <w:r>
              <w:br/>
            </w:r>
            <w:hyperlink r:id="rId15" w:history="1">
              <w:r w:rsidRPr="005202E7">
                <w:rPr>
                  <w:rStyle w:val="Hyperlink"/>
                </w:rPr>
                <w:t>http://www.inspection.gc.ca/plants/imports/airs/eng/1300127512994/1300127627409#</w:t>
              </w:r>
            </w:hyperlink>
            <w:r>
              <w:t xml:space="preserve"> </w:t>
            </w:r>
            <w:r>
              <w:br/>
            </w:r>
          </w:p>
          <w:p w14:paraId="66B4C355" w14:textId="63A09734" w:rsidR="001825AD" w:rsidRDefault="001825AD" w:rsidP="001825AD">
            <w:pPr>
              <w:pStyle w:val="ListParagraph"/>
              <w:numPr>
                <w:ilvl w:val="0"/>
                <w:numId w:val="1"/>
              </w:numPr>
            </w:pPr>
            <w:r>
              <w:t xml:space="preserve">Good Importing Practices for Food </w:t>
            </w:r>
            <w:r>
              <w:br/>
            </w:r>
            <w:hyperlink r:id="rId16" w:history="1">
              <w:r w:rsidRPr="005202E7">
                <w:rPr>
                  <w:rStyle w:val="Hyperlink"/>
                </w:rPr>
                <w:t>http://www.inspection.gc.ca/food/imports/commercial-importers/good-importing-practices/eng/1376630080078/1377849177191</w:t>
              </w:r>
            </w:hyperlink>
            <w:r>
              <w:t xml:space="preserve"> </w:t>
            </w:r>
            <w:r>
              <w:br/>
            </w:r>
          </w:p>
          <w:p w14:paraId="3FB67549" w14:textId="3723632D" w:rsidR="001825AD" w:rsidRDefault="001825AD" w:rsidP="001825AD">
            <w:pPr>
              <w:pStyle w:val="ListParagraph"/>
              <w:numPr>
                <w:ilvl w:val="0"/>
                <w:numId w:val="1"/>
              </w:numPr>
            </w:pPr>
            <w:r w:rsidRPr="00D82BFB">
              <w:t>General Principles of Food Hygiene, Composition and Labelling</w:t>
            </w:r>
            <w:r>
              <w:t xml:space="preserve"> </w:t>
            </w:r>
            <w:r>
              <w:br/>
            </w:r>
            <w:hyperlink r:id="rId17" w:history="1">
              <w:r w:rsidRPr="005202E7">
                <w:rPr>
                  <w:rStyle w:val="Hyperlink"/>
                </w:rPr>
                <w:t>http://www.inspection.gc.ca/food/non-federally-registered/safe-food-production/general-principles/eng/1352919343654/1352920880237</w:t>
              </w:r>
            </w:hyperlink>
            <w:r>
              <w:rPr>
                <w:rStyle w:val="Hyperlink"/>
              </w:rPr>
              <w:br/>
            </w:r>
          </w:p>
          <w:p w14:paraId="685E06AE" w14:textId="1819F6F2" w:rsidR="001825AD" w:rsidRDefault="001825AD" w:rsidP="001825AD">
            <w:pPr>
              <w:pStyle w:val="ListParagraph"/>
              <w:numPr>
                <w:ilvl w:val="0"/>
                <w:numId w:val="1"/>
              </w:numPr>
            </w:pPr>
            <w:r>
              <w:t xml:space="preserve">Guide to Food Safety </w:t>
            </w:r>
            <w:r>
              <w:br/>
            </w:r>
            <w:hyperlink r:id="rId18" w:history="1">
              <w:r w:rsidRPr="005202E7">
                <w:rPr>
                  <w:rStyle w:val="Hyperlink"/>
                </w:rPr>
                <w:t>http://www.inspection.gc.ca/food/non-federally-registered/safe-food-production/guide/eng/1352824546303/1352824822033</w:t>
              </w:r>
            </w:hyperlink>
            <w:r>
              <w:t xml:space="preserve"> </w:t>
            </w:r>
            <w:r>
              <w:br/>
            </w:r>
          </w:p>
          <w:p w14:paraId="14C6DC00" w14:textId="77777777" w:rsidR="00487E6F" w:rsidRPr="00F928DD" w:rsidRDefault="001825AD" w:rsidP="00F928DD">
            <w:pPr>
              <w:pStyle w:val="ListParagraph"/>
              <w:numPr>
                <w:ilvl w:val="0"/>
                <w:numId w:val="1"/>
              </w:numPr>
              <w:rPr>
                <w:rStyle w:val="Hyperlink"/>
                <w:color w:val="auto"/>
                <w:u w:val="none"/>
              </w:rPr>
            </w:pPr>
            <w:r w:rsidRPr="00D82BFB">
              <w:t>HACCP Generic Models and Commodity-Specific Food Safety Guidance Documents</w:t>
            </w:r>
            <w:r>
              <w:t xml:space="preserve"> </w:t>
            </w:r>
            <w:r>
              <w:br/>
            </w:r>
            <w:hyperlink r:id="rId19" w:history="1">
              <w:r w:rsidRPr="005202E7">
                <w:rPr>
                  <w:rStyle w:val="Hyperlink"/>
                </w:rPr>
                <w:t>http://www.inspection.gc.ca/food/safe-food-production-systems/haccp-generic-models-and-guidance-documents/eng/1374992202076/1374992233926</w:t>
              </w:r>
            </w:hyperlink>
          </w:p>
          <w:p w14:paraId="64113BE0" w14:textId="77777777" w:rsidR="00F928DD" w:rsidRDefault="00F928DD" w:rsidP="00F928DD"/>
          <w:p w14:paraId="7DA33F9E" w14:textId="66904283" w:rsidR="00F928DD" w:rsidRDefault="00F928DD" w:rsidP="00F928DD">
            <w:pPr>
              <w:pStyle w:val="ListParagraph"/>
              <w:numPr>
                <w:ilvl w:val="0"/>
                <w:numId w:val="9"/>
              </w:numPr>
            </w:pPr>
            <w:r>
              <w:t xml:space="preserve">Canada Agricultural Products Act </w:t>
            </w:r>
            <w:r>
              <w:br/>
            </w:r>
            <w:hyperlink r:id="rId20" w:history="1">
              <w:r w:rsidRPr="005202E7">
                <w:rPr>
                  <w:rStyle w:val="Hyperlink"/>
                </w:rPr>
                <w:t>http://laws-lois.justice.gc.ca/eng/acts/C-0.4/</w:t>
              </w:r>
            </w:hyperlink>
            <w:r>
              <w:rPr>
                <w:rStyle w:val="Hyperlink"/>
              </w:rPr>
              <w:br/>
            </w:r>
          </w:p>
          <w:p w14:paraId="7ACC9997" w14:textId="4754859D" w:rsidR="00F928DD" w:rsidRDefault="00F928DD" w:rsidP="00F928DD">
            <w:pPr>
              <w:pStyle w:val="ListParagraph"/>
              <w:numPr>
                <w:ilvl w:val="0"/>
                <w:numId w:val="9"/>
              </w:numPr>
            </w:pPr>
            <w:r>
              <w:t xml:space="preserve">Canada – Food and Drugs Act </w:t>
            </w:r>
            <w:r>
              <w:br/>
            </w:r>
            <w:hyperlink r:id="rId21" w:history="1">
              <w:r w:rsidRPr="005202E7">
                <w:rPr>
                  <w:rStyle w:val="Hyperlink"/>
                </w:rPr>
                <w:t>http://laws-lois.justice.gc.ca/eng/acts/f-27/</w:t>
              </w:r>
            </w:hyperlink>
            <w:r>
              <w:rPr>
                <w:rStyle w:val="Hyperlink"/>
              </w:rPr>
              <w:br/>
            </w:r>
          </w:p>
          <w:p w14:paraId="162D262D" w14:textId="77777777" w:rsidR="00F928DD" w:rsidRPr="00374D22" w:rsidRDefault="00F928DD" w:rsidP="00F928DD">
            <w:pPr>
              <w:pStyle w:val="ListParagraph"/>
              <w:numPr>
                <w:ilvl w:val="0"/>
                <w:numId w:val="9"/>
              </w:numPr>
              <w:rPr>
                <w:rStyle w:val="Hyperlink"/>
                <w:color w:val="auto"/>
                <w:u w:val="none"/>
              </w:rPr>
            </w:pPr>
            <w:r>
              <w:t xml:space="preserve">Canada – Consumer Packaging and Labelling Act </w:t>
            </w:r>
            <w:r>
              <w:br/>
            </w:r>
            <w:hyperlink r:id="rId22" w:history="1">
              <w:r w:rsidRPr="005202E7">
                <w:rPr>
                  <w:rStyle w:val="Hyperlink"/>
                </w:rPr>
                <w:t>http://laws-lois.justice.gc.ca/eng/acts/C-38/</w:t>
              </w:r>
            </w:hyperlink>
          </w:p>
          <w:p w14:paraId="647ACDBB" w14:textId="77777777" w:rsidR="00374D22" w:rsidRDefault="00374D22" w:rsidP="00374D22"/>
          <w:p w14:paraId="7E6A13CD" w14:textId="710BA2C7" w:rsidR="00374D22" w:rsidRPr="00B36F63" w:rsidRDefault="00B36F63" w:rsidP="00374D22">
            <w:pPr>
              <w:rPr>
                <w:u w:val="single"/>
              </w:rPr>
            </w:pPr>
            <w:r>
              <w:rPr>
                <w:u w:val="single"/>
              </w:rPr>
              <w:t>Other u</w:t>
            </w:r>
            <w:r w:rsidRPr="00B36F63">
              <w:rPr>
                <w:u w:val="single"/>
              </w:rPr>
              <w:t>seful reports</w:t>
            </w:r>
            <w:r w:rsidR="002D415B">
              <w:rPr>
                <w:u w:val="single"/>
              </w:rPr>
              <w:br/>
            </w:r>
          </w:p>
          <w:p w14:paraId="30227D93" w14:textId="308E4915" w:rsidR="00E70AF7" w:rsidRPr="00E70AF7" w:rsidRDefault="00D8069E" w:rsidP="002D415B">
            <w:pPr>
              <w:pStyle w:val="ListParagraph"/>
              <w:numPr>
                <w:ilvl w:val="0"/>
                <w:numId w:val="12"/>
              </w:numPr>
              <w:ind w:left="454"/>
            </w:pPr>
            <w:hyperlink r:id="rId23" w:history="1">
              <w:r w:rsidR="00E70AF7" w:rsidRPr="00E70AF7">
                <w:rPr>
                  <w:rStyle w:val="Hyperlink"/>
                </w:rPr>
                <w:t>USDA FAS – Gain Report – Canada Exporter Guide – An Exporting Resource Manual (December 2016)</w:t>
              </w:r>
            </w:hyperlink>
          </w:p>
          <w:p w14:paraId="417D1F96" w14:textId="5D967B78" w:rsidR="00E70AF7" w:rsidRPr="002D415B" w:rsidRDefault="00D8069E" w:rsidP="002D415B">
            <w:pPr>
              <w:pStyle w:val="ListParagraph"/>
              <w:numPr>
                <w:ilvl w:val="0"/>
                <w:numId w:val="12"/>
              </w:numPr>
              <w:ind w:left="454"/>
              <w:rPr>
                <w:u w:val="single"/>
              </w:rPr>
            </w:pPr>
            <w:hyperlink r:id="rId24" w:history="1">
              <w:r w:rsidR="001B1620" w:rsidRPr="001B1620">
                <w:rPr>
                  <w:rStyle w:val="Hyperlink"/>
                </w:rPr>
                <w:t>USDA – FAS – Gain Report – Canada – Food and Agricultural Import Regulations and Standards (December 2016)</w:t>
              </w:r>
            </w:hyperlink>
          </w:p>
          <w:p w14:paraId="6920E800" w14:textId="0F583C36" w:rsidR="00E70AF7" w:rsidRPr="00F928DD" w:rsidRDefault="00E70AF7" w:rsidP="00E70AF7">
            <w:pPr>
              <w:rPr>
                <w:u w:val="single"/>
              </w:rPr>
            </w:pPr>
          </w:p>
        </w:tc>
      </w:tr>
      <w:tr w:rsidR="00E70AF7" w14:paraId="7292ADC6" w14:textId="77777777" w:rsidTr="009D5712">
        <w:tc>
          <w:tcPr>
            <w:tcW w:w="9350" w:type="dxa"/>
            <w:shd w:val="clear" w:color="auto" w:fill="auto"/>
          </w:tcPr>
          <w:p w14:paraId="55C49B9D" w14:textId="0F61BD34" w:rsidR="006F2866" w:rsidRPr="006F2866" w:rsidRDefault="00DB4341" w:rsidP="00BF595E">
            <w:pPr>
              <w:pStyle w:val="ListParagraph"/>
              <w:ind w:left="-113"/>
              <w:rPr>
                <w:b/>
              </w:rPr>
            </w:pPr>
            <w:r>
              <w:rPr>
                <w:b/>
              </w:rPr>
              <w:lastRenderedPageBreak/>
              <w:t>Canada – Agriculture and Food Trade Shows</w:t>
            </w:r>
          </w:p>
        </w:tc>
      </w:tr>
      <w:tr w:rsidR="00DB4341" w14:paraId="3ED65491" w14:textId="77777777" w:rsidTr="009D5712">
        <w:tc>
          <w:tcPr>
            <w:tcW w:w="9350" w:type="dxa"/>
            <w:shd w:val="clear" w:color="auto" w:fill="auto"/>
          </w:tcPr>
          <w:p w14:paraId="4EFB60AC" w14:textId="77777777" w:rsidR="00DB4341" w:rsidRDefault="00DB4341" w:rsidP="00BF595E">
            <w:pPr>
              <w:pStyle w:val="ListParagraph"/>
              <w:ind w:left="-113"/>
            </w:pPr>
          </w:p>
          <w:p w14:paraId="1FDF2782" w14:textId="77777777" w:rsidR="00DB4341" w:rsidRDefault="00D8069E" w:rsidP="00BF595E">
            <w:pPr>
              <w:pStyle w:val="ListParagraph"/>
              <w:ind w:left="-113"/>
            </w:pPr>
            <w:hyperlink r:id="rId25" w:history="1">
              <w:r w:rsidR="00DB4341" w:rsidRPr="00DB4341">
                <w:rPr>
                  <w:rStyle w:val="Hyperlink"/>
                </w:rPr>
                <w:t>http://www.agr.gc.ca/eng/industry-markets-and-trade/agriculture-and-food-trade-show-service/canada/?id=1410072148326</w:t>
              </w:r>
            </w:hyperlink>
            <w:r w:rsidR="00DB4341" w:rsidRPr="00DB4341">
              <w:t xml:space="preserve"> </w:t>
            </w:r>
          </w:p>
          <w:p w14:paraId="1C247CD9" w14:textId="49D23244" w:rsidR="00DB4341" w:rsidRPr="00DB4341" w:rsidRDefault="00DB4341" w:rsidP="00BF595E">
            <w:pPr>
              <w:pStyle w:val="ListParagraph"/>
              <w:ind w:left="-113"/>
            </w:pPr>
          </w:p>
        </w:tc>
      </w:tr>
      <w:tr w:rsidR="00DB4341" w14:paraId="0DE2FBC4" w14:textId="77777777" w:rsidTr="009D5712">
        <w:tc>
          <w:tcPr>
            <w:tcW w:w="9350" w:type="dxa"/>
            <w:shd w:val="clear" w:color="auto" w:fill="auto"/>
          </w:tcPr>
          <w:p w14:paraId="7B83E487" w14:textId="676ABCD1" w:rsidR="00DB4341" w:rsidRDefault="00DB4341" w:rsidP="00BF595E">
            <w:pPr>
              <w:pStyle w:val="ListParagraph"/>
              <w:ind w:left="-113"/>
              <w:rPr>
                <w:b/>
              </w:rPr>
            </w:pPr>
            <w:r>
              <w:rPr>
                <w:b/>
              </w:rPr>
              <w:t>Geographical Indications in CETA</w:t>
            </w:r>
          </w:p>
        </w:tc>
      </w:tr>
      <w:tr w:rsidR="00E70AF7" w14:paraId="3DCE5869" w14:textId="77777777" w:rsidTr="00D4769F">
        <w:tc>
          <w:tcPr>
            <w:tcW w:w="9350" w:type="dxa"/>
            <w:shd w:val="clear" w:color="auto" w:fill="auto"/>
          </w:tcPr>
          <w:p w14:paraId="5A86BB72" w14:textId="77777777" w:rsidR="00DB4341" w:rsidRDefault="00DB4341" w:rsidP="00BB7CF2">
            <w:pPr>
              <w:autoSpaceDE w:val="0"/>
              <w:autoSpaceDN w:val="0"/>
              <w:adjustRightInd w:val="0"/>
              <w:rPr>
                <w:rFonts w:ascii="Calibri" w:hAnsi="Calibri" w:cs="Calibri"/>
                <w:color w:val="000000"/>
              </w:rPr>
            </w:pPr>
          </w:p>
          <w:p w14:paraId="01FC16EB" w14:textId="3C610E6F" w:rsidR="009E209E" w:rsidRDefault="00326540" w:rsidP="00BB7CF2">
            <w:pPr>
              <w:autoSpaceDE w:val="0"/>
              <w:autoSpaceDN w:val="0"/>
              <w:adjustRightInd w:val="0"/>
              <w:rPr>
                <w:b/>
              </w:rPr>
            </w:pPr>
            <w:r>
              <w:rPr>
                <w:rFonts w:ascii="Calibri" w:hAnsi="Calibri" w:cs="Calibri"/>
                <w:color w:val="000000"/>
              </w:rPr>
              <w:t>“</w:t>
            </w:r>
            <w:r w:rsidR="00BF595E" w:rsidRPr="00BF595E">
              <w:rPr>
                <w:rFonts w:ascii="Calibri" w:hAnsi="Calibri" w:cs="Calibri"/>
                <w:color w:val="000000"/>
              </w:rPr>
              <w:t xml:space="preserve">CETA - Chapter 20 on intellectual property has a section on </w:t>
            </w:r>
            <w:r w:rsidR="00BF595E" w:rsidRPr="008B05D1">
              <w:rPr>
                <w:rFonts w:ascii="Calibri" w:hAnsi="Calibri" w:cs="Calibri"/>
                <w:color w:val="000000"/>
              </w:rPr>
              <w:t>geographical indications (GIs)</w:t>
            </w:r>
            <w:r w:rsidR="00BF595E" w:rsidRPr="00BF595E">
              <w:rPr>
                <w:rFonts w:ascii="Calibri" w:hAnsi="Calibri" w:cs="Calibri"/>
                <w:color w:val="000000"/>
              </w:rPr>
              <w:t>.</w:t>
            </w:r>
            <w:r w:rsidR="00BF595E">
              <w:rPr>
                <w:rFonts w:ascii="Calibri" w:hAnsi="Calibri" w:cs="Calibri"/>
                <w:color w:val="000000"/>
              </w:rPr>
              <w:t xml:space="preserve"> </w:t>
            </w:r>
            <w:r w:rsidR="00BF595E" w:rsidRPr="00BF595E">
              <w:rPr>
                <w:rFonts w:ascii="Calibri" w:hAnsi="Calibri" w:cs="Calibri"/>
                <w:color w:val="000000"/>
              </w:rPr>
              <w:t>The EU succeeded in securing protection for a large number of European GIs on the</w:t>
            </w:r>
            <w:r w:rsidR="00BF595E">
              <w:rPr>
                <w:rFonts w:ascii="Calibri" w:hAnsi="Calibri" w:cs="Calibri"/>
                <w:color w:val="000000"/>
              </w:rPr>
              <w:t xml:space="preserve"> </w:t>
            </w:r>
            <w:r w:rsidR="00BF595E" w:rsidRPr="00BF595E">
              <w:rPr>
                <w:rFonts w:ascii="Calibri" w:hAnsi="Calibri" w:cs="Calibri"/>
                <w:color w:val="000000"/>
              </w:rPr>
              <w:t xml:space="preserve">Canadian market. </w:t>
            </w:r>
            <w:hyperlink r:id="rId26" w:history="1">
              <w:r w:rsidR="00BF595E" w:rsidRPr="008B05D1">
                <w:rPr>
                  <w:rStyle w:val="Hyperlink"/>
                  <w:rFonts w:ascii="Calibri" w:hAnsi="Calibri" w:cs="Calibri"/>
                </w:rPr>
                <w:t>Annex 20-A</w:t>
              </w:r>
            </w:hyperlink>
            <w:r w:rsidR="00BF595E" w:rsidRPr="00BF595E">
              <w:rPr>
                <w:rFonts w:ascii="Calibri" w:hAnsi="Calibri" w:cs="Calibri"/>
                <w:color w:val="0000FF"/>
              </w:rPr>
              <w:t xml:space="preserve"> </w:t>
            </w:r>
            <w:r w:rsidR="00BF595E" w:rsidRPr="00BF595E">
              <w:rPr>
                <w:rFonts w:ascii="Calibri" w:hAnsi="Calibri" w:cs="Calibri"/>
                <w:color w:val="000000"/>
              </w:rPr>
              <w:t>lists a total of 173 geographical indications for products</w:t>
            </w:r>
            <w:r w:rsidR="00BF595E">
              <w:rPr>
                <w:rFonts w:ascii="Calibri" w:hAnsi="Calibri" w:cs="Calibri"/>
                <w:color w:val="000000"/>
              </w:rPr>
              <w:t xml:space="preserve"> </w:t>
            </w:r>
            <w:r w:rsidR="00BF595E" w:rsidRPr="00BF595E">
              <w:rPr>
                <w:rFonts w:ascii="Calibri" w:hAnsi="Calibri" w:cs="Calibri"/>
                <w:color w:val="000000"/>
              </w:rPr>
              <w:t>originating in the EU. This list can be amended by mutual consent in the future</w:t>
            </w:r>
            <w:r w:rsidR="00BF595E">
              <w:rPr>
                <w:rFonts w:ascii="Calibri" w:hAnsi="Calibri" w:cs="Calibri"/>
                <w:color w:val="000000"/>
              </w:rPr>
              <w:t xml:space="preserve"> </w:t>
            </w:r>
            <w:r w:rsidR="00BF595E" w:rsidRPr="00BF595E">
              <w:rPr>
                <w:rFonts w:ascii="Calibri" w:hAnsi="Calibri" w:cs="Calibri"/>
                <w:color w:val="000000"/>
              </w:rPr>
              <w:t>(Article 20.22).</w:t>
            </w:r>
            <w:r>
              <w:rPr>
                <w:rFonts w:ascii="Calibri" w:hAnsi="Calibri" w:cs="Calibri"/>
                <w:color w:val="000000"/>
              </w:rPr>
              <w:t>”</w:t>
            </w:r>
            <w:r w:rsidR="008B05D1">
              <w:rPr>
                <w:rFonts w:ascii="Calibri" w:hAnsi="Calibri" w:cs="Calibri"/>
                <w:color w:val="000000"/>
              </w:rPr>
              <w:br/>
            </w:r>
            <w:r w:rsidR="008B05D1" w:rsidRPr="008B05D1">
              <w:t>Source:</w:t>
            </w:r>
            <w:r w:rsidR="008B05D1">
              <w:rPr>
                <w:b/>
              </w:rPr>
              <w:t xml:space="preserve"> </w:t>
            </w:r>
            <w:hyperlink r:id="rId27" w:history="1">
              <w:r w:rsidR="008B05D1" w:rsidRPr="00BB7CF2">
                <w:rPr>
                  <w:rStyle w:val="Hyperlink"/>
                </w:rPr>
                <w:t>EPRS Briefing on CETA (January 2017)</w:t>
              </w:r>
            </w:hyperlink>
            <w:r w:rsidR="008B05D1">
              <w:rPr>
                <w:b/>
              </w:rPr>
              <w:t xml:space="preserve"> </w:t>
            </w:r>
          </w:p>
          <w:p w14:paraId="2C742A68" w14:textId="77777777" w:rsidR="009E209E" w:rsidRDefault="009E209E" w:rsidP="00326540">
            <w:pPr>
              <w:autoSpaceDE w:val="0"/>
              <w:autoSpaceDN w:val="0"/>
              <w:adjustRightInd w:val="0"/>
              <w:rPr>
                <w:b/>
              </w:rPr>
            </w:pPr>
          </w:p>
          <w:p w14:paraId="31CDB9E3" w14:textId="715AA55E" w:rsidR="009E209E" w:rsidRDefault="009E209E" w:rsidP="00326540">
            <w:pPr>
              <w:autoSpaceDE w:val="0"/>
              <w:autoSpaceDN w:val="0"/>
              <w:adjustRightInd w:val="0"/>
              <w:rPr>
                <w:b/>
              </w:rPr>
            </w:pPr>
            <w:r>
              <w:rPr>
                <w:b/>
              </w:rPr>
              <w:t>---</w:t>
            </w:r>
            <w:r w:rsidR="002B4417">
              <w:rPr>
                <w:b/>
              </w:rPr>
              <w:br/>
            </w:r>
          </w:p>
          <w:p w14:paraId="2C42C465" w14:textId="5D21F505" w:rsidR="009E209E" w:rsidRDefault="009E209E" w:rsidP="00BB7CF2">
            <w:pPr>
              <w:autoSpaceDE w:val="0"/>
              <w:autoSpaceDN w:val="0"/>
              <w:adjustRightInd w:val="0"/>
              <w:rPr>
                <w:rFonts w:ascii="Calibri" w:hAnsi="Calibri" w:cs="Calibri"/>
              </w:rPr>
            </w:pPr>
            <w:r>
              <w:rPr>
                <w:rFonts w:ascii="Calibri" w:hAnsi="Calibri" w:cs="Calibri"/>
              </w:rPr>
              <w:t xml:space="preserve">“Canada has granted the highest level of protection to the great majority of </w:t>
            </w:r>
            <w:r w:rsidR="00BB7CF2">
              <w:rPr>
                <w:rFonts w:ascii="Calibri" w:hAnsi="Calibri" w:cs="Calibri"/>
              </w:rPr>
              <w:t>[the EU]</w:t>
            </w:r>
            <w:r>
              <w:rPr>
                <w:rFonts w:ascii="Calibri" w:hAnsi="Calibri" w:cs="Calibri"/>
              </w:rPr>
              <w:t xml:space="preserve"> proposed list of</w:t>
            </w:r>
          </w:p>
          <w:p w14:paraId="5F0626DC" w14:textId="57BD2F46" w:rsidR="009E209E" w:rsidRDefault="009E209E" w:rsidP="00BB7CF2">
            <w:pPr>
              <w:autoSpaceDE w:val="0"/>
              <w:autoSpaceDN w:val="0"/>
              <w:adjustRightInd w:val="0"/>
              <w:rPr>
                <w:rFonts w:ascii="Calibri" w:hAnsi="Calibri" w:cs="Calibri"/>
              </w:rPr>
            </w:pPr>
            <w:r>
              <w:rPr>
                <w:rFonts w:ascii="Calibri" w:hAnsi="Calibri" w:cs="Calibri"/>
              </w:rPr>
              <w:t>145 names, with the partial exception of 21 names, which conflicted with names already in</w:t>
            </w:r>
            <w:r w:rsidR="00BB7CF2">
              <w:rPr>
                <w:rFonts w:ascii="Calibri" w:hAnsi="Calibri" w:cs="Calibri"/>
              </w:rPr>
              <w:t xml:space="preserve"> </w:t>
            </w:r>
            <w:r>
              <w:rPr>
                <w:rFonts w:ascii="Calibri" w:hAnsi="Calibri" w:cs="Calibri"/>
              </w:rPr>
              <w:t>use in Canada. In these cases, we have found tailor-made solutions. “</w:t>
            </w:r>
          </w:p>
          <w:p w14:paraId="5F8569CF" w14:textId="77777777" w:rsidR="009E209E" w:rsidRDefault="009E209E" w:rsidP="009E209E">
            <w:pPr>
              <w:autoSpaceDE w:val="0"/>
              <w:autoSpaceDN w:val="0"/>
              <w:adjustRightInd w:val="0"/>
            </w:pPr>
          </w:p>
          <w:p w14:paraId="45BEA50A" w14:textId="50454A16" w:rsidR="008B05D1" w:rsidRPr="008B05D1" w:rsidRDefault="009E209E" w:rsidP="009E209E">
            <w:pPr>
              <w:autoSpaceDE w:val="0"/>
              <w:autoSpaceDN w:val="0"/>
              <w:adjustRightInd w:val="0"/>
              <w:rPr>
                <w:b/>
              </w:rPr>
            </w:pPr>
            <w:r>
              <w:t xml:space="preserve">For further details, please read </w:t>
            </w:r>
            <w:hyperlink r:id="rId28" w:history="1">
              <w:r w:rsidRPr="009E209E">
                <w:rPr>
                  <w:rStyle w:val="Hyperlink"/>
                </w:rPr>
                <w:t>CETA – Summary of the final negotiating results (February 2016)</w:t>
              </w:r>
            </w:hyperlink>
            <w:r>
              <w:t xml:space="preserve"> ;</w:t>
            </w:r>
            <w:r>
              <w:br/>
              <w:t xml:space="preserve">page  14-16. </w:t>
            </w:r>
            <w:r>
              <w:br/>
            </w:r>
          </w:p>
        </w:tc>
      </w:tr>
      <w:tr w:rsidR="00762EB7" w14:paraId="2486F548" w14:textId="77777777" w:rsidTr="009D5712">
        <w:tc>
          <w:tcPr>
            <w:tcW w:w="9350" w:type="dxa"/>
            <w:shd w:val="clear" w:color="auto" w:fill="auto"/>
          </w:tcPr>
          <w:p w14:paraId="6714D046" w14:textId="0ABC5533" w:rsidR="00762EB7" w:rsidRDefault="00762EB7" w:rsidP="00BF595E">
            <w:pPr>
              <w:pStyle w:val="ListParagraph"/>
              <w:ind w:left="-113"/>
            </w:pPr>
            <w:r w:rsidRPr="00A876D2">
              <w:rPr>
                <w:b/>
              </w:rPr>
              <w:t>DG TRADE –</w:t>
            </w:r>
            <w:r w:rsidRPr="00A876D2">
              <w:rPr>
                <w:b/>
                <w:u w:val="single"/>
              </w:rPr>
              <w:t xml:space="preserve"> </w:t>
            </w:r>
            <w:r w:rsidRPr="00A876D2">
              <w:rPr>
                <w:b/>
              </w:rPr>
              <w:t>Information on the EU-Canada CETA agreement</w:t>
            </w:r>
          </w:p>
        </w:tc>
      </w:tr>
      <w:tr w:rsidR="00762EB7" w14:paraId="341B3DDE" w14:textId="77777777" w:rsidTr="00D4769F">
        <w:tc>
          <w:tcPr>
            <w:tcW w:w="9350" w:type="dxa"/>
            <w:shd w:val="clear" w:color="auto" w:fill="auto"/>
          </w:tcPr>
          <w:p w14:paraId="34732047" w14:textId="77777777" w:rsidR="00CC11AC" w:rsidRDefault="00CC11AC" w:rsidP="00CC11AC">
            <w:pPr>
              <w:pStyle w:val="ListParagraph"/>
              <w:ind w:left="360"/>
            </w:pPr>
          </w:p>
          <w:p w14:paraId="761D2FB6" w14:textId="3FAA0282" w:rsidR="00762EB7" w:rsidRPr="00A876D2" w:rsidRDefault="00762EB7" w:rsidP="00762EB7">
            <w:pPr>
              <w:pStyle w:val="ListParagraph"/>
              <w:numPr>
                <w:ilvl w:val="0"/>
                <w:numId w:val="2"/>
              </w:numPr>
            </w:pPr>
            <w:r w:rsidRPr="00A876D2">
              <w:t>Dedicated CETA website</w:t>
            </w:r>
            <w:r w:rsidRPr="00A876D2">
              <w:br/>
            </w:r>
            <w:hyperlink r:id="rId29" w:history="1">
              <w:r w:rsidRPr="00A876D2">
                <w:rPr>
                  <w:rStyle w:val="Hyperlink"/>
                </w:rPr>
                <w:t>http://ec.europa.eu/trade/policy/in-focus/ceta/</w:t>
              </w:r>
            </w:hyperlink>
            <w:r w:rsidR="00CC11AC">
              <w:rPr>
                <w:rStyle w:val="Hyperlink"/>
              </w:rPr>
              <w:br/>
            </w:r>
          </w:p>
          <w:p w14:paraId="58BC3D12" w14:textId="782F1056" w:rsidR="00762EB7" w:rsidRPr="00A876D2" w:rsidRDefault="00762EB7" w:rsidP="00762EB7">
            <w:pPr>
              <w:pStyle w:val="ListParagraph"/>
              <w:numPr>
                <w:ilvl w:val="0"/>
                <w:numId w:val="2"/>
              </w:numPr>
            </w:pPr>
            <w:r w:rsidRPr="00A876D2">
              <w:t>CETA explained - Creating new opportunities for your business</w:t>
            </w:r>
            <w:r w:rsidRPr="00A876D2">
              <w:br/>
            </w:r>
            <w:hyperlink r:id="rId30" w:history="1">
              <w:r w:rsidRPr="00A876D2">
                <w:rPr>
                  <w:rStyle w:val="Hyperlink"/>
                </w:rPr>
                <w:t>http://ec.europa.eu/trade/policy/in-focus/ceta/ceta-explained/</w:t>
              </w:r>
            </w:hyperlink>
            <w:r w:rsidRPr="00A876D2">
              <w:t xml:space="preserve"> </w:t>
            </w:r>
            <w:r w:rsidR="00CC11AC">
              <w:br/>
            </w:r>
          </w:p>
          <w:p w14:paraId="487FC15E" w14:textId="4092AEA6" w:rsidR="00762EB7" w:rsidRPr="00A876D2" w:rsidRDefault="00762EB7" w:rsidP="00762EB7">
            <w:pPr>
              <w:pStyle w:val="ListParagraph"/>
              <w:numPr>
                <w:ilvl w:val="0"/>
                <w:numId w:val="2"/>
              </w:numPr>
            </w:pPr>
            <w:r w:rsidRPr="00A876D2">
              <w:t xml:space="preserve">Why CETA? (Interviews and examples) </w:t>
            </w:r>
            <w:r w:rsidRPr="00A876D2">
              <w:br/>
            </w:r>
            <w:hyperlink r:id="rId31" w:history="1">
              <w:r w:rsidRPr="00A876D2">
                <w:rPr>
                  <w:rStyle w:val="Hyperlink"/>
                </w:rPr>
                <w:t>http://ec.europa.eu/avservices/focus/index.cfm?sitelang=en&amp;focusid=1620</w:t>
              </w:r>
            </w:hyperlink>
            <w:r w:rsidRPr="00A876D2">
              <w:t xml:space="preserve"> </w:t>
            </w:r>
            <w:r w:rsidR="00CC11AC">
              <w:br/>
            </w:r>
          </w:p>
          <w:p w14:paraId="19836D6D" w14:textId="5642F670" w:rsidR="002A7F64" w:rsidRDefault="00762EB7" w:rsidP="002A7F64">
            <w:pPr>
              <w:pStyle w:val="ListParagraph"/>
              <w:numPr>
                <w:ilvl w:val="0"/>
                <w:numId w:val="2"/>
              </w:numPr>
            </w:pPr>
            <w:r w:rsidRPr="00A876D2">
              <w:t>The Benefits of CETA and exporters' stories</w:t>
            </w:r>
            <w:r w:rsidRPr="00A876D2">
              <w:br/>
            </w:r>
            <w:hyperlink r:id="rId32" w:history="1">
              <w:r w:rsidRPr="00A876D2">
                <w:rPr>
                  <w:rStyle w:val="Hyperlink"/>
                </w:rPr>
                <w:t>http://trade.ec.europa.eu/doclib/docs/2016/july/tradoc_154775.pdf</w:t>
              </w:r>
            </w:hyperlink>
            <w:r w:rsidRPr="00A876D2">
              <w:t xml:space="preserve"> </w:t>
            </w:r>
            <w:r w:rsidR="00CC11AC">
              <w:br/>
            </w:r>
          </w:p>
          <w:p w14:paraId="0F686C9B" w14:textId="6209C07E" w:rsidR="00762EB7" w:rsidRDefault="00762EB7" w:rsidP="002A7F64">
            <w:pPr>
              <w:pStyle w:val="ListParagraph"/>
              <w:numPr>
                <w:ilvl w:val="0"/>
                <w:numId w:val="2"/>
              </w:numPr>
            </w:pPr>
            <w:r w:rsidRPr="00A876D2">
              <w:t>CETA in your town website</w:t>
            </w:r>
            <w:r w:rsidRPr="00A876D2">
              <w:br/>
            </w:r>
            <w:hyperlink r:id="rId33" w:history="1">
              <w:r w:rsidRPr="00A876D2">
                <w:rPr>
                  <w:rStyle w:val="Hyperlink"/>
                </w:rPr>
                <w:t>http://ec.europa.eu/trade/policy/in-focus/ceta/ceta-in-your-town/</w:t>
              </w:r>
            </w:hyperlink>
            <w:r w:rsidRPr="00A876D2">
              <w:t xml:space="preserve"> </w:t>
            </w:r>
          </w:p>
        </w:tc>
      </w:tr>
    </w:tbl>
    <w:p w14:paraId="6DEA5D12" w14:textId="1DC3D252" w:rsidR="00380A0F" w:rsidRDefault="00380A0F"/>
    <w:p w14:paraId="65DAC12F" w14:textId="77777777" w:rsidR="00D82BFB" w:rsidRPr="00495FA6" w:rsidRDefault="00D82BFB"/>
    <w:sectPr w:rsidR="00D82BFB" w:rsidRPr="00495FA6" w:rsidSect="00D8069E">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CD33E" w14:textId="77777777" w:rsidR="00AD61A5" w:rsidRDefault="00AD61A5" w:rsidP="00AD61A5">
      <w:pPr>
        <w:spacing w:after="0" w:line="240" w:lineRule="auto"/>
      </w:pPr>
      <w:r>
        <w:separator/>
      </w:r>
    </w:p>
  </w:endnote>
  <w:endnote w:type="continuationSeparator" w:id="0">
    <w:p w14:paraId="2908CDC8" w14:textId="77777777" w:rsidR="00AD61A5" w:rsidRDefault="00AD61A5" w:rsidP="00AD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343AC" w14:textId="77777777" w:rsidR="00D8069E" w:rsidRDefault="00D806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14:paraId="4FABB48B" w14:textId="105C8C67" w:rsidR="00AD61A5" w:rsidRPr="00D8069E" w:rsidRDefault="00D8069E" w:rsidP="00D8069E">
    <w:pPr>
      <w:pStyle w:val="Footer"/>
      <w:jc w:val="right"/>
      <w:rPr>
        <w:rFonts w:ascii="Arial" w:hAnsi="Arial" w:cs="Arial"/>
        <w:color w:val="333399"/>
        <w:sz w:val="18"/>
      </w:rPr>
    </w:pPr>
    <w:r w:rsidRPr="00D8069E">
      <w:rPr>
        <w:rFonts w:ascii="Arial" w:hAnsi="Arial" w:cs="Arial"/>
        <w:color w:val="333399"/>
        <w:sz w:val="18"/>
      </w:rPr>
      <w:fldChar w:fldCharType="begin"/>
    </w:r>
    <w:r w:rsidRPr="00D8069E">
      <w:rPr>
        <w:rFonts w:ascii="Arial" w:hAnsi="Arial" w:cs="Arial"/>
        <w:color w:val="333399"/>
        <w:sz w:val="18"/>
      </w:rPr>
      <w:instrText xml:space="preserve"> PAGE \* MERGEFORMAT </w:instrText>
    </w:r>
    <w:r w:rsidRPr="00D8069E">
      <w:rPr>
        <w:rFonts w:ascii="Arial" w:hAnsi="Arial" w:cs="Arial"/>
        <w:color w:val="333399"/>
        <w:sz w:val="18"/>
      </w:rPr>
      <w:fldChar w:fldCharType="separate"/>
    </w:r>
    <w:r>
      <w:rPr>
        <w:rFonts w:ascii="Arial" w:hAnsi="Arial" w:cs="Arial"/>
        <w:noProof/>
        <w:color w:val="333399"/>
        <w:sz w:val="18"/>
      </w:rPr>
      <w:t>2</w:t>
    </w:r>
    <w:r w:rsidRPr="00D8069E">
      <w:rPr>
        <w:rFonts w:ascii="Arial" w:hAnsi="Arial" w:cs="Arial"/>
        <w:color w:val="333399"/>
        <w:sz w:val="18"/>
      </w:rPr>
      <w:fldChar w:fldCharType="end"/>
    </w:r>
    <w:r w:rsidRPr="00D8069E">
      <w:rPr>
        <w:rFonts w:ascii="Arial" w:hAnsi="Arial" w:cs="Arial"/>
        <w:color w:val="333399"/>
        <w:sz w:val="18"/>
      </w:rPr>
      <w:t>/</w:t>
    </w:r>
    <w:r w:rsidRPr="00D8069E">
      <w:rPr>
        <w:rFonts w:ascii="Arial" w:hAnsi="Arial" w:cs="Arial"/>
        <w:color w:val="333399"/>
        <w:sz w:val="18"/>
      </w:rPr>
      <w:fldChar w:fldCharType="begin"/>
    </w:r>
    <w:r w:rsidRPr="00D8069E">
      <w:rPr>
        <w:rFonts w:ascii="Arial" w:hAnsi="Arial" w:cs="Arial"/>
        <w:color w:val="333399"/>
        <w:sz w:val="18"/>
      </w:rPr>
      <w:instrText xml:space="preserve"> NUMPAGES \* MERGEFORMAT </w:instrText>
    </w:r>
    <w:r w:rsidRPr="00D8069E">
      <w:rPr>
        <w:rFonts w:ascii="Arial" w:hAnsi="Arial" w:cs="Arial"/>
        <w:color w:val="333399"/>
        <w:sz w:val="18"/>
      </w:rPr>
      <w:fldChar w:fldCharType="separate"/>
    </w:r>
    <w:r>
      <w:rPr>
        <w:rFonts w:ascii="Arial" w:hAnsi="Arial" w:cs="Arial"/>
        <w:noProof/>
        <w:color w:val="333399"/>
        <w:sz w:val="18"/>
      </w:rPr>
      <w:t>4</w:t>
    </w:r>
    <w:r w:rsidRPr="00D8069E">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7A1C" w14:textId="77777777" w:rsidR="00D8069E" w:rsidRPr="00D8069E" w:rsidRDefault="00D8069E" w:rsidP="00D8069E">
    <w:pPr>
      <w:pStyle w:val="Footer"/>
      <w:rPr>
        <w:rFonts w:ascii="Arial" w:hAnsi="Arial" w:cs="Arial"/>
        <w:color w:val="333399"/>
        <w:sz w:val="18"/>
      </w:rPr>
    </w:pPr>
    <w:r w:rsidRPr="00D8069E">
      <w:rPr>
        <w:rFonts w:ascii="Arial" w:hAnsi="Arial" w:cs="Arial"/>
        <w:color w:val="333399"/>
        <w:sz w:val="18"/>
      </w:rPr>
      <w:t>Avenue des Nerviens 9-31 - 1040 Brussels - BELGIUM - Tel. +32 2 514 11 11 </w:t>
    </w:r>
  </w:p>
  <w:p w14:paraId="003A6DC2" w14:textId="77777777" w:rsidR="00D8069E" w:rsidRPr="00D8069E" w:rsidRDefault="00D8069E" w:rsidP="00D8069E">
    <w:pPr>
      <w:pStyle w:val="Footer"/>
      <w:rPr>
        <w:rFonts w:ascii="Arial" w:hAnsi="Arial" w:cs="Arial"/>
        <w:color w:val="333399"/>
        <w:sz w:val="18"/>
      </w:rPr>
    </w:pPr>
    <w:r w:rsidRPr="00D8069E">
      <w:rPr>
        <w:rFonts w:ascii="Arial" w:hAnsi="Arial" w:cs="Arial"/>
        <w:color w:val="333399"/>
        <w:sz w:val="18"/>
      </w:rPr>
      <w:t>info@fooddrinkeurope.eu - www.fooddrinkeurope.eu - ETI Register 75818824519-45</w:t>
    </w:r>
  </w:p>
  <w:p w14:paraId="12854E70" w14:textId="5C9150DD" w:rsidR="00AD61A5" w:rsidRPr="00D8069E" w:rsidRDefault="00D8069E" w:rsidP="00D8069E">
    <w:pPr>
      <w:pStyle w:val="Footer"/>
      <w:rPr>
        <w:rFonts w:ascii="Arial" w:hAnsi="Arial" w:cs="Arial"/>
        <w:color w:val="333399"/>
        <w:sz w:val="18"/>
      </w:rPr>
    </w:pPr>
    <w:r w:rsidRPr="00D8069E">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B24335" w14:textId="77777777" w:rsidR="00AD61A5" w:rsidRDefault="00AD61A5" w:rsidP="00AD61A5">
      <w:pPr>
        <w:spacing w:after="0" w:line="240" w:lineRule="auto"/>
      </w:pPr>
      <w:r>
        <w:separator/>
      </w:r>
    </w:p>
  </w:footnote>
  <w:footnote w:type="continuationSeparator" w:id="0">
    <w:p w14:paraId="5D14740B" w14:textId="77777777" w:rsidR="00AD61A5" w:rsidRDefault="00AD61A5" w:rsidP="00AD6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A0695" w14:textId="77777777" w:rsidR="00D8069E" w:rsidRDefault="00D806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80"/>
    </w:tblGrid>
    <w:tr w:rsidR="00D8069E" w:rsidRPr="00D8069E" w14:paraId="597283D0" w14:textId="77777777" w:rsidTr="00D8069E">
      <w:tc>
        <w:tcPr>
          <w:tcW w:w="4750" w:type="dxa"/>
          <w:shd w:val="clear" w:color="auto" w:fill="auto"/>
        </w:tcPr>
        <w:p w14:paraId="75CA95D5" w14:textId="06DC5D0F" w:rsidR="00D8069E" w:rsidRPr="00D8069E" w:rsidRDefault="00D8069E" w:rsidP="00D8069E">
          <w:pPr>
            <w:pStyle w:val="Header"/>
            <w:jc w:val="right"/>
            <w:rPr>
              <w:rFonts w:ascii="Arial" w:hAnsi="Arial" w:cs="Arial"/>
              <w:sz w:val="18"/>
            </w:rPr>
          </w:pPr>
          <w:r w:rsidRPr="00D8069E">
            <w:rPr>
              <w:rFonts w:ascii="Arial" w:hAnsi="Arial" w:cs="Arial"/>
              <w:noProof/>
              <w:sz w:val="18"/>
              <w:lang w:val="fr-BE" w:eastAsia="fr-BE"/>
            </w:rPr>
            <w:drawing>
              <wp:inline distT="0" distB="0" distL="0" distR="0" wp14:anchorId="4EEAAF30" wp14:editId="34F0C18B">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750" w:type="dxa"/>
          <w:shd w:val="clear" w:color="auto" w:fill="auto"/>
        </w:tcPr>
        <w:p w14:paraId="44E51175" w14:textId="77777777" w:rsidR="00D8069E" w:rsidRPr="00D8069E" w:rsidRDefault="00D8069E" w:rsidP="00D8069E">
          <w:pPr>
            <w:pStyle w:val="Header"/>
            <w:jc w:val="right"/>
            <w:rPr>
              <w:rFonts w:ascii="Arial" w:hAnsi="Arial" w:cs="Arial"/>
              <w:sz w:val="18"/>
            </w:rPr>
          </w:pPr>
        </w:p>
        <w:p w14:paraId="5BC95822" w14:textId="77777777" w:rsidR="00D8069E" w:rsidRPr="00D8069E" w:rsidRDefault="00D8069E" w:rsidP="00D8069E">
          <w:pPr>
            <w:pStyle w:val="Header"/>
            <w:jc w:val="right"/>
            <w:rPr>
              <w:rFonts w:ascii="Arial" w:hAnsi="Arial" w:cs="Arial"/>
              <w:sz w:val="18"/>
            </w:rPr>
          </w:pPr>
        </w:p>
        <w:p w14:paraId="77E2F8DF" w14:textId="5646E5EB" w:rsidR="00D8069E" w:rsidRPr="00D8069E" w:rsidRDefault="00D8069E" w:rsidP="00D8069E">
          <w:pPr>
            <w:pStyle w:val="Header"/>
            <w:jc w:val="right"/>
            <w:rPr>
              <w:rFonts w:ascii="Arial" w:hAnsi="Arial" w:cs="Arial"/>
              <w:sz w:val="18"/>
            </w:rPr>
          </w:pPr>
          <w:r w:rsidRPr="00D8069E">
            <w:rPr>
              <w:rFonts w:ascii="Arial" w:hAnsi="Arial" w:cs="Arial"/>
              <w:sz w:val="18"/>
            </w:rPr>
            <w:t>COMP/TRADE/038/17E</w:t>
          </w:r>
        </w:p>
      </w:tc>
    </w:tr>
  </w:tbl>
  <w:p w14:paraId="430D32CC" w14:textId="77777777" w:rsidR="00AD61A5" w:rsidRPr="00D8069E" w:rsidRDefault="00AD61A5" w:rsidP="00D8069E">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80"/>
    </w:tblGrid>
    <w:tr w:rsidR="00D8069E" w:rsidRPr="00D8069E" w14:paraId="3B25A721" w14:textId="77777777" w:rsidTr="00D8069E">
      <w:tc>
        <w:tcPr>
          <w:tcW w:w="4750" w:type="dxa"/>
          <w:shd w:val="clear" w:color="auto" w:fill="auto"/>
        </w:tcPr>
        <w:p w14:paraId="2323029B" w14:textId="6A195AC3" w:rsidR="00D8069E" w:rsidRPr="00D8069E" w:rsidRDefault="00D8069E" w:rsidP="00D8069E">
          <w:pPr>
            <w:pStyle w:val="Header"/>
            <w:jc w:val="right"/>
            <w:rPr>
              <w:rFonts w:ascii="Arial" w:hAnsi="Arial" w:cs="Arial"/>
              <w:sz w:val="18"/>
            </w:rPr>
          </w:pPr>
          <w:r w:rsidRPr="00D8069E">
            <w:rPr>
              <w:rFonts w:ascii="Arial" w:hAnsi="Arial" w:cs="Arial"/>
              <w:noProof/>
              <w:sz w:val="18"/>
              <w:lang w:val="fr-BE" w:eastAsia="fr-BE"/>
            </w:rPr>
            <w:drawing>
              <wp:inline distT="0" distB="0" distL="0" distR="0" wp14:anchorId="69BBEC77" wp14:editId="5A56136F">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750" w:type="dxa"/>
          <w:shd w:val="clear" w:color="auto" w:fill="auto"/>
        </w:tcPr>
        <w:p w14:paraId="7B209BB0" w14:textId="77777777" w:rsidR="00D8069E" w:rsidRPr="00D8069E" w:rsidRDefault="00D8069E" w:rsidP="00D8069E">
          <w:pPr>
            <w:pStyle w:val="Header"/>
            <w:jc w:val="right"/>
            <w:rPr>
              <w:rFonts w:ascii="Arial" w:hAnsi="Arial" w:cs="Arial"/>
              <w:sz w:val="18"/>
            </w:rPr>
          </w:pPr>
        </w:p>
        <w:p w14:paraId="31672F55" w14:textId="77777777" w:rsidR="00D8069E" w:rsidRPr="00D8069E" w:rsidRDefault="00D8069E" w:rsidP="00D8069E">
          <w:pPr>
            <w:pStyle w:val="Header"/>
            <w:jc w:val="right"/>
            <w:rPr>
              <w:rFonts w:ascii="Arial" w:hAnsi="Arial" w:cs="Arial"/>
              <w:sz w:val="18"/>
            </w:rPr>
          </w:pPr>
        </w:p>
        <w:p w14:paraId="1127B3B3" w14:textId="5E8F8FB7" w:rsidR="00D8069E" w:rsidRPr="00D8069E" w:rsidRDefault="00D8069E" w:rsidP="00D8069E">
          <w:pPr>
            <w:pStyle w:val="Header"/>
            <w:jc w:val="right"/>
            <w:rPr>
              <w:rFonts w:ascii="Arial" w:hAnsi="Arial" w:cs="Arial"/>
              <w:sz w:val="18"/>
            </w:rPr>
          </w:pPr>
          <w:r w:rsidRPr="00D8069E">
            <w:rPr>
              <w:rFonts w:ascii="Arial" w:hAnsi="Arial" w:cs="Arial"/>
              <w:sz w:val="18"/>
            </w:rPr>
            <w:t>COMP/TRADE/038/17E</w:t>
          </w:r>
        </w:p>
      </w:tc>
    </w:tr>
  </w:tbl>
  <w:p w14:paraId="0C60675B" w14:textId="77777777" w:rsidR="00AD61A5" w:rsidRPr="00D8069E" w:rsidRDefault="00AD61A5" w:rsidP="00D8069E">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98E"/>
    <w:multiLevelType w:val="hybridMultilevel"/>
    <w:tmpl w:val="ACBAE1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FE61B58"/>
    <w:multiLevelType w:val="hybridMultilevel"/>
    <w:tmpl w:val="7BE8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E22BDB"/>
    <w:multiLevelType w:val="hybridMultilevel"/>
    <w:tmpl w:val="6DF00F4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AF4BD3"/>
    <w:multiLevelType w:val="hybridMultilevel"/>
    <w:tmpl w:val="492C761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5E0618"/>
    <w:multiLevelType w:val="hybridMultilevel"/>
    <w:tmpl w:val="DFAC681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59E1211"/>
    <w:multiLevelType w:val="hybridMultilevel"/>
    <w:tmpl w:val="9F7827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94932E7"/>
    <w:multiLevelType w:val="hybridMultilevel"/>
    <w:tmpl w:val="1EB8D2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D1D6E20"/>
    <w:multiLevelType w:val="hybridMultilevel"/>
    <w:tmpl w:val="197646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D935FE5"/>
    <w:multiLevelType w:val="hybridMultilevel"/>
    <w:tmpl w:val="5DEC9B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EF2C33"/>
    <w:multiLevelType w:val="hybridMultilevel"/>
    <w:tmpl w:val="A4E454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B7486A"/>
    <w:multiLevelType w:val="hybridMultilevel"/>
    <w:tmpl w:val="8182EB3A"/>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DA747FF"/>
    <w:multiLevelType w:val="hybridMultilevel"/>
    <w:tmpl w:val="A330D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0"/>
  </w:num>
  <w:num w:numId="7">
    <w:abstractNumId w:val="1"/>
  </w:num>
  <w:num w:numId="8">
    <w:abstractNumId w:val="6"/>
  </w:num>
  <w:num w:numId="9">
    <w:abstractNumId w:val="7"/>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45"/>
    <w:rsid w:val="000472EA"/>
    <w:rsid w:val="00052A0E"/>
    <w:rsid w:val="00053DCC"/>
    <w:rsid w:val="000675C5"/>
    <w:rsid w:val="000726EE"/>
    <w:rsid w:val="000C0C68"/>
    <w:rsid w:val="0010275C"/>
    <w:rsid w:val="0018251E"/>
    <w:rsid w:val="001825AD"/>
    <w:rsid w:val="001B1620"/>
    <w:rsid w:val="001C0B98"/>
    <w:rsid w:val="001E30FF"/>
    <w:rsid w:val="00217746"/>
    <w:rsid w:val="00252E29"/>
    <w:rsid w:val="002A7F64"/>
    <w:rsid w:val="002B4417"/>
    <w:rsid w:val="002C7DC7"/>
    <w:rsid w:val="002D415B"/>
    <w:rsid w:val="002E02FC"/>
    <w:rsid w:val="00326540"/>
    <w:rsid w:val="00374D22"/>
    <w:rsid w:val="00380A0F"/>
    <w:rsid w:val="003A6F6E"/>
    <w:rsid w:val="003A7DDB"/>
    <w:rsid w:val="003B0492"/>
    <w:rsid w:val="003F2D28"/>
    <w:rsid w:val="00412D29"/>
    <w:rsid w:val="00432066"/>
    <w:rsid w:val="00445448"/>
    <w:rsid w:val="00486730"/>
    <w:rsid w:val="0048788B"/>
    <w:rsid w:val="00487E6F"/>
    <w:rsid w:val="00495FA6"/>
    <w:rsid w:val="005063C8"/>
    <w:rsid w:val="005577CD"/>
    <w:rsid w:val="0059069E"/>
    <w:rsid w:val="005B20F6"/>
    <w:rsid w:val="005E21A0"/>
    <w:rsid w:val="005F56AB"/>
    <w:rsid w:val="00611970"/>
    <w:rsid w:val="00620491"/>
    <w:rsid w:val="00652908"/>
    <w:rsid w:val="006641B8"/>
    <w:rsid w:val="006805F3"/>
    <w:rsid w:val="006C6622"/>
    <w:rsid w:val="006D72E1"/>
    <w:rsid w:val="006F2866"/>
    <w:rsid w:val="00762EB7"/>
    <w:rsid w:val="00775245"/>
    <w:rsid w:val="007A68EF"/>
    <w:rsid w:val="007E720F"/>
    <w:rsid w:val="008424E7"/>
    <w:rsid w:val="008B05D1"/>
    <w:rsid w:val="008E0B6F"/>
    <w:rsid w:val="00945B3A"/>
    <w:rsid w:val="0094765B"/>
    <w:rsid w:val="009B3B4A"/>
    <w:rsid w:val="009B73CD"/>
    <w:rsid w:val="009D5712"/>
    <w:rsid w:val="009E209E"/>
    <w:rsid w:val="00A2377F"/>
    <w:rsid w:val="00A26427"/>
    <w:rsid w:val="00A26783"/>
    <w:rsid w:val="00A876D2"/>
    <w:rsid w:val="00A94112"/>
    <w:rsid w:val="00AB215C"/>
    <w:rsid w:val="00AD61A5"/>
    <w:rsid w:val="00AF7A8B"/>
    <w:rsid w:val="00B04640"/>
    <w:rsid w:val="00B36F63"/>
    <w:rsid w:val="00B70E29"/>
    <w:rsid w:val="00B85641"/>
    <w:rsid w:val="00BB66B5"/>
    <w:rsid w:val="00BB7CF2"/>
    <w:rsid w:val="00BF595E"/>
    <w:rsid w:val="00BF6414"/>
    <w:rsid w:val="00C01E55"/>
    <w:rsid w:val="00C043C6"/>
    <w:rsid w:val="00C14C92"/>
    <w:rsid w:val="00C1750C"/>
    <w:rsid w:val="00C75C24"/>
    <w:rsid w:val="00C954BD"/>
    <w:rsid w:val="00CB1E35"/>
    <w:rsid w:val="00CC11AC"/>
    <w:rsid w:val="00CC2C56"/>
    <w:rsid w:val="00CD1F7F"/>
    <w:rsid w:val="00D8069E"/>
    <w:rsid w:val="00D82BFB"/>
    <w:rsid w:val="00DB4341"/>
    <w:rsid w:val="00DC022F"/>
    <w:rsid w:val="00E2738B"/>
    <w:rsid w:val="00E46DA4"/>
    <w:rsid w:val="00E70AF7"/>
    <w:rsid w:val="00EC7F5E"/>
    <w:rsid w:val="00F02BD4"/>
    <w:rsid w:val="00F10ECD"/>
    <w:rsid w:val="00F27D79"/>
    <w:rsid w:val="00F47B64"/>
    <w:rsid w:val="00F928DD"/>
    <w:rsid w:val="00FA28A8"/>
    <w:rsid w:val="00FD4C9E"/>
    <w:rsid w:val="00FE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783"/>
    <w:rPr>
      <w:color w:val="0563C1" w:themeColor="hyperlink"/>
      <w:u w:val="single"/>
    </w:rPr>
  </w:style>
  <w:style w:type="paragraph" w:styleId="ListParagraph">
    <w:name w:val="List Paragraph"/>
    <w:basedOn w:val="Normal"/>
    <w:uiPriority w:val="34"/>
    <w:qFormat/>
    <w:rsid w:val="00D82BFB"/>
    <w:pPr>
      <w:ind w:left="720"/>
      <w:contextualSpacing/>
    </w:pPr>
  </w:style>
  <w:style w:type="character" w:styleId="FollowedHyperlink">
    <w:name w:val="FollowedHyperlink"/>
    <w:basedOn w:val="DefaultParagraphFont"/>
    <w:uiPriority w:val="99"/>
    <w:semiHidden/>
    <w:unhideWhenUsed/>
    <w:rsid w:val="00D82BFB"/>
    <w:rPr>
      <w:color w:val="954F72" w:themeColor="followedHyperlink"/>
      <w:u w:val="single"/>
    </w:rPr>
  </w:style>
  <w:style w:type="table" w:styleId="TableGrid">
    <w:name w:val="Table Grid"/>
    <w:basedOn w:val="TableNormal"/>
    <w:uiPriority w:val="39"/>
    <w:rsid w:val="002E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02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2FC"/>
    <w:rPr>
      <w:b/>
      <w:bCs/>
    </w:rPr>
  </w:style>
  <w:style w:type="character" w:styleId="CommentReference">
    <w:name w:val="annotation reference"/>
    <w:basedOn w:val="DefaultParagraphFont"/>
    <w:uiPriority w:val="99"/>
    <w:semiHidden/>
    <w:unhideWhenUsed/>
    <w:rsid w:val="003F2D28"/>
    <w:rPr>
      <w:sz w:val="16"/>
      <w:szCs w:val="16"/>
    </w:rPr>
  </w:style>
  <w:style w:type="paragraph" w:styleId="CommentText">
    <w:name w:val="annotation text"/>
    <w:basedOn w:val="Normal"/>
    <w:link w:val="CommentTextChar"/>
    <w:uiPriority w:val="99"/>
    <w:semiHidden/>
    <w:unhideWhenUsed/>
    <w:rsid w:val="003F2D28"/>
    <w:pPr>
      <w:spacing w:line="240" w:lineRule="auto"/>
    </w:pPr>
    <w:rPr>
      <w:sz w:val="20"/>
      <w:szCs w:val="20"/>
    </w:rPr>
  </w:style>
  <w:style w:type="character" w:customStyle="1" w:styleId="CommentTextChar">
    <w:name w:val="Comment Text Char"/>
    <w:basedOn w:val="DefaultParagraphFont"/>
    <w:link w:val="CommentText"/>
    <w:uiPriority w:val="99"/>
    <w:semiHidden/>
    <w:rsid w:val="003F2D28"/>
    <w:rPr>
      <w:sz w:val="20"/>
      <w:szCs w:val="20"/>
    </w:rPr>
  </w:style>
  <w:style w:type="paragraph" w:styleId="CommentSubject">
    <w:name w:val="annotation subject"/>
    <w:basedOn w:val="CommentText"/>
    <w:next w:val="CommentText"/>
    <w:link w:val="CommentSubjectChar"/>
    <w:uiPriority w:val="99"/>
    <w:semiHidden/>
    <w:unhideWhenUsed/>
    <w:rsid w:val="003F2D28"/>
    <w:rPr>
      <w:b/>
      <w:bCs/>
    </w:rPr>
  </w:style>
  <w:style w:type="character" w:customStyle="1" w:styleId="CommentSubjectChar">
    <w:name w:val="Comment Subject Char"/>
    <w:basedOn w:val="CommentTextChar"/>
    <w:link w:val="CommentSubject"/>
    <w:uiPriority w:val="99"/>
    <w:semiHidden/>
    <w:rsid w:val="003F2D28"/>
    <w:rPr>
      <w:b/>
      <w:bCs/>
      <w:sz w:val="20"/>
      <w:szCs w:val="20"/>
    </w:rPr>
  </w:style>
  <w:style w:type="paragraph" w:styleId="BalloonText">
    <w:name w:val="Balloon Text"/>
    <w:basedOn w:val="Normal"/>
    <w:link w:val="BalloonTextChar"/>
    <w:uiPriority w:val="99"/>
    <w:semiHidden/>
    <w:unhideWhenUsed/>
    <w:rsid w:val="003F2D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D28"/>
    <w:rPr>
      <w:rFonts w:ascii="Segoe UI" w:hAnsi="Segoe UI" w:cs="Segoe UI"/>
      <w:sz w:val="18"/>
      <w:szCs w:val="18"/>
    </w:rPr>
  </w:style>
  <w:style w:type="paragraph" w:styleId="Header">
    <w:name w:val="header"/>
    <w:basedOn w:val="Normal"/>
    <w:link w:val="HeaderChar"/>
    <w:uiPriority w:val="99"/>
    <w:unhideWhenUsed/>
    <w:rsid w:val="00AD6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A5"/>
  </w:style>
  <w:style w:type="paragraph" w:styleId="Footer">
    <w:name w:val="footer"/>
    <w:basedOn w:val="Normal"/>
    <w:link w:val="FooterChar"/>
    <w:uiPriority w:val="99"/>
    <w:unhideWhenUsed/>
    <w:rsid w:val="00AD6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783"/>
    <w:rPr>
      <w:color w:val="0563C1" w:themeColor="hyperlink"/>
      <w:u w:val="single"/>
    </w:rPr>
  </w:style>
  <w:style w:type="paragraph" w:styleId="ListParagraph">
    <w:name w:val="List Paragraph"/>
    <w:basedOn w:val="Normal"/>
    <w:uiPriority w:val="34"/>
    <w:qFormat/>
    <w:rsid w:val="00D82BFB"/>
    <w:pPr>
      <w:ind w:left="720"/>
      <w:contextualSpacing/>
    </w:pPr>
  </w:style>
  <w:style w:type="character" w:styleId="FollowedHyperlink">
    <w:name w:val="FollowedHyperlink"/>
    <w:basedOn w:val="DefaultParagraphFont"/>
    <w:uiPriority w:val="99"/>
    <w:semiHidden/>
    <w:unhideWhenUsed/>
    <w:rsid w:val="00D82BFB"/>
    <w:rPr>
      <w:color w:val="954F72" w:themeColor="followedHyperlink"/>
      <w:u w:val="single"/>
    </w:rPr>
  </w:style>
  <w:style w:type="table" w:styleId="TableGrid">
    <w:name w:val="Table Grid"/>
    <w:basedOn w:val="TableNormal"/>
    <w:uiPriority w:val="39"/>
    <w:rsid w:val="002E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02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2FC"/>
    <w:rPr>
      <w:b/>
      <w:bCs/>
    </w:rPr>
  </w:style>
  <w:style w:type="character" w:styleId="CommentReference">
    <w:name w:val="annotation reference"/>
    <w:basedOn w:val="DefaultParagraphFont"/>
    <w:uiPriority w:val="99"/>
    <w:semiHidden/>
    <w:unhideWhenUsed/>
    <w:rsid w:val="003F2D28"/>
    <w:rPr>
      <w:sz w:val="16"/>
      <w:szCs w:val="16"/>
    </w:rPr>
  </w:style>
  <w:style w:type="paragraph" w:styleId="CommentText">
    <w:name w:val="annotation text"/>
    <w:basedOn w:val="Normal"/>
    <w:link w:val="CommentTextChar"/>
    <w:uiPriority w:val="99"/>
    <w:semiHidden/>
    <w:unhideWhenUsed/>
    <w:rsid w:val="003F2D28"/>
    <w:pPr>
      <w:spacing w:line="240" w:lineRule="auto"/>
    </w:pPr>
    <w:rPr>
      <w:sz w:val="20"/>
      <w:szCs w:val="20"/>
    </w:rPr>
  </w:style>
  <w:style w:type="character" w:customStyle="1" w:styleId="CommentTextChar">
    <w:name w:val="Comment Text Char"/>
    <w:basedOn w:val="DefaultParagraphFont"/>
    <w:link w:val="CommentText"/>
    <w:uiPriority w:val="99"/>
    <w:semiHidden/>
    <w:rsid w:val="003F2D28"/>
    <w:rPr>
      <w:sz w:val="20"/>
      <w:szCs w:val="20"/>
    </w:rPr>
  </w:style>
  <w:style w:type="paragraph" w:styleId="CommentSubject">
    <w:name w:val="annotation subject"/>
    <w:basedOn w:val="CommentText"/>
    <w:next w:val="CommentText"/>
    <w:link w:val="CommentSubjectChar"/>
    <w:uiPriority w:val="99"/>
    <w:semiHidden/>
    <w:unhideWhenUsed/>
    <w:rsid w:val="003F2D28"/>
    <w:rPr>
      <w:b/>
      <w:bCs/>
    </w:rPr>
  </w:style>
  <w:style w:type="character" w:customStyle="1" w:styleId="CommentSubjectChar">
    <w:name w:val="Comment Subject Char"/>
    <w:basedOn w:val="CommentTextChar"/>
    <w:link w:val="CommentSubject"/>
    <w:uiPriority w:val="99"/>
    <w:semiHidden/>
    <w:rsid w:val="003F2D28"/>
    <w:rPr>
      <w:b/>
      <w:bCs/>
      <w:sz w:val="20"/>
      <w:szCs w:val="20"/>
    </w:rPr>
  </w:style>
  <w:style w:type="paragraph" w:styleId="BalloonText">
    <w:name w:val="Balloon Text"/>
    <w:basedOn w:val="Normal"/>
    <w:link w:val="BalloonTextChar"/>
    <w:uiPriority w:val="99"/>
    <w:semiHidden/>
    <w:unhideWhenUsed/>
    <w:rsid w:val="003F2D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D28"/>
    <w:rPr>
      <w:rFonts w:ascii="Segoe UI" w:hAnsi="Segoe UI" w:cs="Segoe UI"/>
      <w:sz w:val="18"/>
      <w:szCs w:val="18"/>
    </w:rPr>
  </w:style>
  <w:style w:type="paragraph" w:styleId="Header">
    <w:name w:val="header"/>
    <w:basedOn w:val="Normal"/>
    <w:link w:val="HeaderChar"/>
    <w:uiPriority w:val="99"/>
    <w:unhideWhenUsed/>
    <w:rsid w:val="00AD6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A5"/>
  </w:style>
  <w:style w:type="paragraph" w:styleId="Footer">
    <w:name w:val="footer"/>
    <w:basedOn w:val="Normal"/>
    <w:link w:val="FooterChar"/>
    <w:uiPriority w:val="99"/>
    <w:unhideWhenUsed/>
    <w:rsid w:val="00AD6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869943">
      <w:bodyDiv w:val="1"/>
      <w:marLeft w:val="0"/>
      <w:marRight w:val="0"/>
      <w:marTop w:val="0"/>
      <w:marBottom w:val="0"/>
      <w:divBdr>
        <w:top w:val="none" w:sz="0" w:space="0" w:color="auto"/>
        <w:left w:val="none" w:sz="0" w:space="0" w:color="auto"/>
        <w:bottom w:val="none" w:sz="0" w:space="0" w:color="auto"/>
        <w:right w:val="none" w:sz="0" w:space="0" w:color="auto"/>
      </w:divBdr>
    </w:div>
    <w:div w:id="701323396">
      <w:bodyDiv w:val="1"/>
      <w:marLeft w:val="0"/>
      <w:marRight w:val="0"/>
      <w:marTop w:val="0"/>
      <w:marBottom w:val="0"/>
      <w:divBdr>
        <w:top w:val="none" w:sz="0" w:space="0" w:color="auto"/>
        <w:left w:val="none" w:sz="0" w:space="0" w:color="auto"/>
        <w:bottom w:val="none" w:sz="0" w:space="0" w:color="auto"/>
        <w:right w:val="none" w:sz="0" w:space="0" w:color="auto"/>
      </w:divBdr>
    </w:div>
    <w:div w:id="108757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sa-asfc.gc.ca/import/guide-eng.html" TargetMode="External"/><Relationship Id="rId18" Type="http://schemas.openxmlformats.org/officeDocument/2006/relationships/hyperlink" Target="http://www.inspection.gc.ca/food/non-federally-registered/safe-food-production/guide/eng/1352824546303/1352824822033" TargetMode="External"/><Relationship Id="rId26" Type="http://schemas.openxmlformats.org/officeDocument/2006/relationships/hyperlink" Target="http://trade.ec.europa.eu/doclib/docs/2014/september/tradoc_152806.pdf"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laws-lois.justice.gc.ca/eng/acts/f-27/"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international.gc.ca/gac-amc/campaign-campagne/ceta-aecg/find_your_tariff_rate-trouvez_votre_taux_tarifaire.aspx?lang=eng" TargetMode="External"/><Relationship Id="rId17" Type="http://schemas.openxmlformats.org/officeDocument/2006/relationships/hyperlink" Target="http://www.inspection.gc.ca/food/non-federally-registered/safe-food-production/general-principles/eng/1352919343654/1352920880237" TargetMode="External"/><Relationship Id="rId25" Type="http://schemas.openxmlformats.org/officeDocument/2006/relationships/hyperlink" Target="http://www.agr.gc.ca/eng/industry-markets-and-trade/agriculture-and-food-trade-show-service/canada/?id=1410072148326" TargetMode="External"/><Relationship Id="rId33" Type="http://schemas.openxmlformats.org/officeDocument/2006/relationships/hyperlink" Target="http://ec.europa.eu/trade/policy/in-focus/ceta/ceta-in-your-town/"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inspection.gc.ca/food/imports/commercial-importers/good-importing-practices/eng/1376630080078/1377849177191" TargetMode="External"/><Relationship Id="rId20" Type="http://schemas.openxmlformats.org/officeDocument/2006/relationships/hyperlink" Target="http://laws-lois.justice.gc.ca/eng/acts/C-0.4/" TargetMode="External"/><Relationship Id="rId29" Type="http://schemas.openxmlformats.org/officeDocument/2006/relationships/hyperlink" Target="http://ec.europa.eu/trade/policy/in-focus/cet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rade.ec.europa.eu/doclib/html/152806.htm" TargetMode="External"/><Relationship Id="rId24" Type="http://schemas.openxmlformats.org/officeDocument/2006/relationships/hyperlink" Target="https://gain.fas.usda.gov/Recent%20GAIN%20Publications/Food%20and%20Agricultural%20Import%20Regulations%20and%20Standards%20-%20Narrative_Ottawa_Canada_12-16-2016.pdf" TargetMode="External"/><Relationship Id="rId32" Type="http://schemas.openxmlformats.org/officeDocument/2006/relationships/hyperlink" Target="http://trade.ec.europa.eu/doclib/docs/2016/july/tradoc_154775.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nspection.gc.ca/plants/imports/airs/eng/1300127512994/1300127627409" TargetMode="External"/><Relationship Id="rId23" Type="http://schemas.openxmlformats.org/officeDocument/2006/relationships/hyperlink" Target="https://gain.fas.usda.gov/Recent%20GAIN%20Publications/Exporter%20Guide_Ottawa_Canada_12-20-2016.pdf" TargetMode="External"/><Relationship Id="rId28" Type="http://schemas.openxmlformats.org/officeDocument/2006/relationships/hyperlink" Target="http://trade.ec.europa.eu/doclib/docs/2014/december/tradoc_152982.pdf" TargetMode="External"/><Relationship Id="rId36" Type="http://schemas.openxmlformats.org/officeDocument/2006/relationships/footer" Target="footer1.xml"/><Relationship Id="rId10" Type="http://schemas.openxmlformats.org/officeDocument/2006/relationships/hyperlink" Target="http://www.international.gc.ca/gac-amc/campaign-campagne/ceta-aecg/find_your_tariff_rate-trouvez_votre_taux_tarifaire.aspx?lang=eng" TargetMode="External"/><Relationship Id="rId19" Type="http://schemas.openxmlformats.org/officeDocument/2006/relationships/hyperlink" Target="http://www.inspection.gc.ca/food/safe-food-production-systems/haccp-generic-models-and-guidance-documents/eng/1374992202076/1374992233926" TargetMode="External"/><Relationship Id="rId31" Type="http://schemas.openxmlformats.org/officeDocument/2006/relationships/hyperlink" Target="http://ec.europa.eu/avservices/focus/index.cfm?sitelang=en&amp;focusid=1620" TargetMode="External"/><Relationship Id="rId4" Type="http://schemas.microsoft.com/office/2007/relationships/stylesWithEffects" Target="stylesWithEffects.xml"/><Relationship Id="rId9" Type="http://schemas.openxmlformats.org/officeDocument/2006/relationships/hyperlink" Target="http://www.europarl.europa.eu/news/en/news-room/20170209IPR61728/ceta-meps-back-eu-canada-trade-agreement" TargetMode="External"/><Relationship Id="rId14" Type="http://schemas.openxmlformats.org/officeDocument/2006/relationships/hyperlink" Target="http://inspection.gc.ca/food/imports/eng/1323714792490/1323715949260" TargetMode="External"/><Relationship Id="rId22" Type="http://schemas.openxmlformats.org/officeDocument/2006/relationships/hyperlink" Target="http://laws-lois.justice.gc.ca/eng/acts/C-38/" TargetMode="External"/><Relationship Id="rId27" Type="http://schemas.openxmlformats.org/officeDocument/2006/relationships/hyperlink" Target="http://www.europarl.europa.eu/EPRS/EPRS-Briefing-595895-Comprehensive-Economic-Trade-Agreement-Canada-rev-FINAL.pdf" TargetMode="External"/><Relationship Id="rId30" Type="http://schemas.openxmlformats.org/officeDocument/2006/relationships/hyperlink" Target="http://ec.europa.eu/trade/policy/in-focus/ceta/ceta-explained/"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3C7C7-4532-4A06-9895-44BD93C6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4833</Characters>
  <Application>Microsoft Office Word</Application>
  <DocSecurity>0</DocSecurity>
  <Lines>129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Hinzen</dc:creator>
  <cp:keywords/>
  <dc:description/>
  <cp:lastModifiedBy>Windows User</cp:lastModifiedBy>
  <cp:revision>2</cp:revision>
  <dcterms:created xsi:type="dcterms:W3CDTF">2017-02-21T15:01:00Z</dcterms:created>
  <dcterms:modified xsi:type="dcterms:W3CDTF">2017-02-21T15:01:00Z</dcterms:modified>
</cp:coreProperties>
</file>