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5" w:rsidRPr="00020291" w:rsidRDefault="00D63432" w:rsidP="00EC2C25">
      <w:pPr>
        <w:jc w:val="right"/>
        <w:rPr>
          <w:rFonts w:ascii="Tahoma" w:hAnsi="Tahoma" w:cs="Tahoma"/>
          <w:color w:val="0D1957"/>
          <w:sz w:val="36"/>
          <w:szCs w:val="36"/>
          <w:lang w:val="en-GB"/>
        </w:rPr>
      </w:pPr>
      <w:r w:rsidRPr="00020291">
        <w:rPr>
          <w:rFonts w:ascii="Tahoma" w:hAnsi="Tahoma" w:cs="Tahoma"/>
          <w:color w:val="0D1957"/>
          <w:sz w:val="36"/>
          <w:szCs w:val="36"/>
          <w:lang w:val="en-GB"/>
        </w:rPr>
        <w:t xml:space="preserve">FOR </w:t>
      </w:r>
      <w:r w:rsidR="00020291">
        <w:rPr>
          <w:rFonts w:ascii="Tahoma" w:hAnsi="Tahoma" w:cs="Tahoma"/>
          <w:color w:val="0D1957"/>
          <w:sz w:val="36"/>
          <w:szCs w:val="36"/>
          <w:lang w:val="en-GB"/>
        </w:rPr>
        <w:t>COMMENTS</w:t>
      </w:r>
      <w:r w:rsidR="00242C81" w:rsidRPr="00020291">
        <w:rPr>
          <w:rFonts w:ascii="Tahoma" w:hAnsi="Tahoma" w:cs="Tahoma"/>
          <w:color w:val="0D1957"/>
          <w:sz w:val="36"/>
          <w:szCs w:val="36"/>
          <w:lang w:val="en-GB"/>
        </w:rPr>
        <w:t xml:space="preserve"> </w:t>
      </w:r>
    </w:p>
    <w:p w:rsidR="00E7365A" w:rsidRPr="00020291" w:rsidRDefault="00410970" w:rsidP="00E7365A">
      <w:pPr>
        <w:tabs>
          <w:tab w:val="left" w:pos="7088"/>
        </w:tabs>
        <w:jc w:val="right"/>
        <w:rPr>
          <w:rFonts w:cs="Arial"/>
          <w:szCs w:val="22"/>
          <w:lang w:val="en-GB"/>
        </w:rPr>
      </w:pPr>
      <w:r w:rsidRPr="00020291">
        <w:rPr>
          <w:rFonts w:cs="Arial"/>
          <w:szCs w:val="22"/>
          <w:lang w:val="en-GB"/>
        </w:rPr>
        <w:t>22 February 2017</w:t>
      </w:r>
    </w:p>
    <w:p w:rsidR="00E7365A" w:rsidRPr="00020291" w:rsidRDefault="00E7365A" w:rsidP="00E7365A">
      <w:pPr>
        <w:tabs>
          <w:tab w:val="left" w:pos="7088"/>
        </w:tabs>
        <w:rPr>
          <w:rFonts w:cs="Arial"/>
          <w:szCs w:val="22"/>
          <w:lang w:val="en-GB"/>
        </w:rPr>
      </w:pPr>
    </w:p>
    <w:p w:rsidR="0053109B" w:rsidRPr="00020291" w:rsidRDefault="0053109B" w:rsidP="00E7365A">
      <w:pPr>
        <w:tabs>
          <w:tab w:val="left" w:pos="7088"/>
        </w:tabs>
        <w:rPr>
          <w:rFonts w:cs="Arial"/>
          <w:szCs w:val="22"/>
          <w:lang w:val="en-GB"/>
        </w:rPr>
      </w:pPr>
    </w:p>
    <w:p w:rsidR="0053109B" w:rsidRDefault="0053109B" w:rsidP="0053109B">
      <w:pPr>
        <w:autoSpaceDE w:val="0"/>
        <w:autoSpaceDN w:val="0"/>
        <w:adjustRightInd w:val="0"/>
        <w:rPr>
          <w:rFonts w:ascii="Tms Rmn" w:hAnsi="Tms Rmn"/>
          <w:sz w:val="24"/>
          <w:szCs w:val="24"/>
          <w:lang w:val="en-GB" w:eastAsia="en-GB"/>
        </w:rPr>
      </w:pPr>
    </w:p>
    <w:p w:rsidR="0053109B" w:rsidRDefault="0053109B" w:rsidP="00410970">
      <w:pPr>
        <w:pStyle w:val="Heading1"/>
        <w:rPr>
          <w:lang w:val="en-GB" w:eastAsia="en-GB"/>
        </w:rPr>
      </w:pPr>
      <w:r>
        <w:rPr>
          <w:lang w:val="en-GB" w:eastAsia="en-GB"/>
        </w:rPr>
        <w:t>EC study on measures for improving B2B payment behaviour</w:t>
      </w:r>
      <w:r w:rsidR="006F4D72">
        <w:rPr>
          <w:lang w:val="en-GB" w:eastAsia="en-GB"/>
        </w:rPr>
        <w:t xml:space="preserve"> – </w:t>
      </w:r>
      <w:r w:rsidR="006F4D72" w:rsidRPr="006F4D72">
        <w:rPr>
          <w:color w:val="FF0000"/>
          <w:lang w:val="en-GB" w:eastAsia="en-GB"/>
        </w:rPr>
        <w:t>FOR COMMENTS BY 10 MARCH</w:t>
      </w:r>
    </w:p>
    <w:p w:rsidR="0053109B" w:rsidRPr="00410970" w:rsidRDefault="0053109B" w:rsidP="005310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color w:val="000000"/>
          <w:szCs w:val="22"/>
          <w:lang w:val="en-GB" w:eastAsia="en-GB"/>
        </w:rPr>
      </w:pPr>
    </w:p>
    <w:p w:rsidR="0053109B" w:rsidRPr="00410970" w:rsidRDefault="0053109B" w:rsidP="0053109B">
      <w:pPr>
        <w:autoSpaceDE w:val="0"/>
        <w:autoSpaceDN w:val="0"/>
        <w:adjustRightInd w:val="0"/>
        <w:rPr>
          <w:rFonts w:cs="Arial"/>
          <w:color w:val="000000"/>
          <w:szCs w:val="22"/>
          <w:lang w:val="en-GB" w:eastAsia="en-GB"/>
        </w:rPr>
      </w:pPr>
    </w:p>
    <w:p w:rsidR="0053109B" w:rsidRPr="00410970" w:rsidRDefault="0053109B" w:rsidP="0053109B">
      <w:pPr>
        <w:autoSpaceDE w:val="0"/>
        <w:autoSpaceDN w:val="0"/>
        <w:adjustRightInd w:val="0"/>
        <w:rPr>
          <w:rFonts w:cs="Arial"/>
          <w:color w:val="000000"/>
          <w:szCs w:val="22"/>
          <w:lang w:val="en-GB" w:eastAsia="en-GB"/>
        </w:rPr>
      </w:pPr>
      <w:r w:rsidRPr="00410970">
        <w:rPr>
          <w:rFonts w:cs="Arial"/>
          <w:color w:val="000000"/>
          <w:szCs w:val="22"/>
          <w:lang w:val="en-GB" w:eastAsia="en-GB"/>
        </w:rPr>
        <w:t xml:space="preserve">Dear </w:t>
      </w:r>
      <w:r w:rsidR="00410970" w:rsidRPr="00410970">
        <w:rPr>
          <w:rFonts w:cs="Arial"/>
          <w:color w:val="000000"/>
          <w:szCs w:val="22"/>
          <w:lang w:val="en-GB" w:eastAsia="en-GB"/>
        </w:rPr>
        <w:t>member</w:t>
      </w:r>
      <w:r w:rsidR="00020291">
        <w:rPr>
          <w:rFonts w:cs="Arial"/>
          <w:color w:val="000000"/>
          <w:szCs w:val="22"/>
          <w:lang w:val="en-GB" w:eastAsia="en-GB"/>
        </w:rPr>
        <w:t>s</w:t>
      </w:r>
      <w:r w:rsidRPr="00410970">
        <w:rPr>
          <w:rFonts w:cs="Arial"/>
          <w:color w:val="000000"/>
          <w:szCs w:val="22"/>
          <w:lang w:val="en-GB" w:eastAsia="en-GB"/>
        </w:rPr>
        <w:t>,</w:t>
      </w:r>
    </w:p>
    <w:p w:rsidR="0053109B" w:rsidRPr="00410970" w:rsidRDefault="0053109B" w:rsidP="0053109B">
      <w:pPr>
        <w:autoSpaceDE w:val="0"/>
        <w:autoSpaceDN w:val="0"/>
        <w:adjustRightInd w:val="0"/>
        <w:rPr>
          <w:rFonts w:cs="Arial"/>
          <w:color w:val="000000"/>
          <w:szCs w:val="22"/>
          <w:lang w:val="en-GB" w:eastAsia="en-GB"/>
        </w:rPr>
      </w:pPr>
      <w:r w:rsidRPr="00410970">
        <w:rPr>
          <w:rFonts w:cs="Arial"/>
          <w:color w:val="000000"/>
          <w:szCs w:val="22"/>
          <w:lang w:val="en-GB" w:eastAsia="en-GB"/>
        </w:rPr>
        <w:t xml:space="preserve"> </w:t>
      </w:r>
    </w:p>
    <w:p w:rsidR="0053109B" w:rsidRDefault="00020291" w:rsidP="006F4D72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>DG GROW has launched the following new study on late payments ‘</w:t>
      </w:r>
      <w:r w:rsidR="0053109B" w:rsidRPr="00410970">
        <w:rPr>
          <w:rFonts w:cs="Arial"/>
          <w:b/>
          <w:bCs/>
          <w:color w:val="000000"/>
          <w:szCs w:val="22"/>
          <w:lang w:val="en-GB" w:eastAsia="en-GB"/>
        </w:rPr>
        <w:t>Business-to-business transactions: a comparative analysis of legal measures vs. soft-law instruments for improving payment behaviour</w:t>
      </w:r>
      <w:r>
        <w:rPr>
          <w:rFonts w:cs="Arial"/>
          <w:b/>
          <w:bCs/>
          <w:color w:val="000000"/>
          <w:szCs w:val="22"/>
          <w:lang w:val="en-GB" w:eastAsia="en-GB"/>
        </w:rPr>
        <w:t xml:space="preserve">’. </w:t>
      </w:r>
      <w:r w:rsidRPr="00020291">
        <w:rPr>
          <w:rFonts w:cs="Arial"/>
          <w:bCs/>
          <w:color w:val="000000"/>
          <w:szCs w:val="22"/>
          <w:lang w:val="en-GB" w:eastAsia="en-GB"/>
        </w:rPr>
        <w:t>It has awarded the study to VVA</w:t>
      </w:r>
      <w:r w:rsidR="002F7576">
        <w:rPr>
          <w:rFonts w:cs="Arial"/>
          <w:bCs/>
          <w:color w:val="000000"/>
          <w:szCs w:val="22"/>
          <w:lang w:val="en-GB" w:eastAsia="en-GB"/>
        </w:rPr>
        <w:t xml:space="preserve"> europe</w:t>
      </w:r>
      <w:r w:rsidRPr="00020291">
        <w:rPr>
          <w:rFonts w:cs="Arial"/>
          <w:bCs/>
          <w:color w:val="000000"/>
          <w:szCs w:val="22"/>
          <w:lang w:val="en-GB" w:eastAsia="en-GB"/>
        </w:rPr>
        <w:t>.</w:t>
      </w:r>
    </w:p>
    <w:p w:rsidR="00020291" w:rsidRDefault="00020291" w:rsidP="006F4D72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lang w:val="en-GB" w:eastAsia="en-GB"/>
        </w:rPr>
      </w:pPr>
    </w:p>
    <w:p w:rsidR="00020291" w:rsidRPr="00410970" w:rsidRDefault="00020291" w:rsidP="006F4D7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bCs/>
          <w:color w:val="000000"/>
          <w:szCs w:val="22"/>
          <w:lang w:val="en-GB" w:eastAsia="en-GB"/>
        </w:rPr>
        <w:t>You may remember that, in 2015, a study conducted by VVA for DG GROW, focused on the evaluation of the implementation of the Late Payments Directive</w:t>
      </w:r>
      <w:r w:rsidR="006F4D72">
        <w:rPr>
          <w:rFonts w:cs="Arial"/>
          <w:bCs/>
          <w:color w:val="000000"/>
          <w:szCs w:val="22"/>
          <w:lang w:val="en-GB" w:eastAsia="en-GB"/>
        </w:rPr>
        <w:t xml:space="preserve"> 2011/16/EU</w:t>
      </w:r>
      <w:r>
        <w:rPr>
          <w:rFonts w:cs="Arial"/>
          <w:bCs/>
          <w:color w:val="000000"/>
          <w:szCs w:val="22"/>
          <w:lang w:val="en-GB" w:eastAsia="en-GB"/>
        </w:rPr>
        <w:t xml:space="preserve"> in the 28 Member States and across all sectors. </w:t>
      </w:r>
    </w:p>
    <w:p w:rsidR="0053109B" w:rsidRPr="00410970" w:rsidRDefault="0053109B" w:rsidP="006F4D7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 w:rsidRPr="00410970">
        <w:rPr>
          <w:rFonts w:cs="Arial"/>
          <w:color w:val="000000"/>
          <w:szCs w:val="22"/>
          <w:lang w:val="en-GB" w:eastAsia="en-GB"/>
        </w:rPr>
        <w:t xml:space="preserve"> </w:t>
      </w:r>
    </w:p>
    <w:p w:rsidR="0053109B" w:rsidRPr="00410970" w:rsidRDefault="0053109B" w:rsidP="006F4D7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 w:rsidRPr="00410970">
        <w:rPr>
          <w:rFonts w:cs="Arial"/>
          <w:color w:val="000000"/>
          <w:szCs w:val="22"/>
          <w:lang w:val="en-GB" w:eastAsia="en-GB"/>
        </w:rPr>
        <w:t>The</w:t>
      </w:r>
      <w:r w:rsidR="00020291">
        <w:rPr>
          <w:rFonts w:cs="Arial"/>
          <w:color w:val="000000"/>
          <w:szCs w:val="22"/>
          <w:lang w:val="en-GB" w:eastAsia="en-GB"/>
        </w:rPr>
        <w:t xml:space="preserve"> new</w:t>
      </w:r>
      <w:r w:rsidRPr="00410970">
        <w:rPr>
          <w:rFonts w:cs="Arial"/>
          <w:color w:val="000000"/>
          <w:szCs w:val="22"/>
          <w:lang w:val="en-GB" w:eastAsia="en-GB"/>
        </w:rPr>
        <w:t xml:space="preserve"> study </w:t>
      </w:r>
      <w:r w:rsidR="006F4D72">
        <w:rPr>
          <w:rFonts w:cs="Arial"/>
          <w:color w:val="000000"/>
          <w:szCs w:val="22"/>
          <w:lang w:val="en-GB" w:eastAsia="en-GB"/>
        </w:rPr>
        <w:t>tackles</w:t>
      </w:r>
      <w:r w:rsidR="00020291">
        <w:rPr>
          <w:rFonts w:cs="Arial"/>
          <w:color w:val="000000"/>
          <w:szCs w:val="22"/>
          <w:lang w:val="en-GB" w:eastAsia="en-GB"/>
        </w:rPr>
        <w:t xml:space="preserve"> B2B commercial relations. It </w:t>
      </w:r>
      <w:r w:rsidRPr="00410970">
        <w:rPr>
          <w:rFonts w:cs="Arial"/>
          <w:color w:val="000000"/>
          <w:szCs w:val="22"/>
          <w:lang w:val="en-GB" w:eastAsia="en-GB"/>
        </w:rPr>
        <w:t xml:space="preserve">will compare the effectiveness of legal measures vs. soft-law instruments in improving payment behaviour in </w:t>
      </w:r>
      <w:r w:rsidR="00020291">
        <w:rPr>
          <w:rFonts w:cs="Arial"/>
          <w:color w:val="000000"/>
          <w:szCs w:val="22"/>
          <w:lang w:val="en-GB" w:eastAsia="en-GB"/>
        </w:rPr>
        <w:t xml:space="preserve">B2B </w:t>
      </w:r>
      <w:r w:rsidRPr="00410970">
        <w:rPr>
          <w:rFonts w:cs="Arial"/>
          <w:color w:val="000000"/>
          <w:szCs w:val="22"/>
          <w:lang w:val="en-GB" w:eastAsia="en-GB"/>
        </w:rPr>
        <w:t>commercial transactions in 7 sectors: construction, retail and wholesale, manufacturing, IT/software/telecommunications,</w:t>
      </w:r>
      <w:r w:rsidRPr="00020291">
        <w:rPr>
          <w:rFonts w:cs="Arial"/>
          <w:b/>
          <w:color w:val="000000"/>
          <w:szCs w:val="22"/>
          <w:lang w:val="en-GB" w:eastAsia="en-GB"/>
        </w:rPr>
        <w:t xml:space="preserve"> food and drinks</w:t>
      </w:r>
      <w:r w:rsidRPr="00410970">
        <w:rPr>
          <w:rFonts w:cs="Arial"/>
          <w:color w:val="000000"/>
          <w:szCs w:val="22"/>
          <w:lang w:val="en-GB" w:eastAsia="en-GB"/>
        </w:rPr>
        <w:t>, utilities and transport and business and professional services.</w:t>
      </w:r>
    </w:p>
    <w:p w:rsidR="00020291" w:rsidRDefault="00020291" w:rsidP="006F4D7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</w:p>
    <w:p w:rsidR="00020291" w:rsidRDefault="00020291" w:rsidP="006F4D7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>Study in 2 steps:</w:t>
      </w:r>
    </w:p>
    <w:p w:rsidR="00020291" w:rsidRDefault="00020291" w:rsidP="006F4D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 xml:space="preserve">Overall </w:t>
      </w:r>
      <w:r w:rsidR="002F7576">
        <w:rPr>
          <w:rFonts w:cs="Arial"/>
          <w:color w:val="000000"/>
          <w:szCs w:val="22"/>
          <w:lang w:val="en-GB" w:eastAsia="en-GB"/>
        </w:rPr>
        <w:t>feedback on the situation of B2B payment behaviour (February – March).</w:t>
      </w:r>
    </w:p>
    <w:p w:rsidR="00020291" w:rsidRDefault="00020291" w:rsidP="006F4D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>Interviews conducted at national level (in April)</w:t>
      </w:r>
      <w:r w:rsidR="002F7576">
        <w:rPr>
          <w:rFonts w:cs="Arial"/>
          <w:color w:val="000000"/>
          <w:szCs w:val="22"/>
          <w:lang w:val="en-GB" w:eastAsia="en-GB"/>
        </w:rPr>
        <w:t>: you will be conducted at this stage.</w:t>
      </w:r>
    </w:p>
    <w:p w:rsidR="002F7576" w:rsidRDefault="002F7576" w:rsidP="006F4D7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</w:p>
    <w:p w:rsidR="006F4D72" w:rsidRPr="006F4D72" w:rsidRDefault="006F4D72" w:rsidP="006F4D7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lang w:val="en-GB" w:eastAsia="en-GB"/>
        </w:rPr>
      </w:pPr>
      <w:r w:rsidRPr="006F4D72">
        <w:rPr>
          <w:rFonts w:cs="Arial"/>
          <w:b/>
          <w:color w:val="000000"/>
          <w:szCs w:val="22"/>
          <w:lang w:val="en-GB" w:eastAsia="en-GB"/>
        </w:rPr>
        <w:t>Firs step</w:t>
      </w:r>
    </w:p>
    <w:p w:rsidR="006F4D72" w:rsidRDefault="002F7576" w:rsidP="006F4D72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 xml:space="preserve">As a linked document, you will find FoodDrinkEurope contribution to the previous study (COMP/CORE/021/15 dated 4 June 2015). </w:t>
      </w:r>
    </w:p>
    <w:p w:rsidR="002F7576" w:rsidRPr="006F4D72" w:rsidRDefault="002F7576" w:rsidP="006F4D72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  <w:lang w:val="en-GB" w:eastAsia="en-GB"/>
        </w:rPr>
      </w:pPr>
      <w:r w:rsidRPr="006F4D72">
        <w:rPr>
          <w:rFonts w:cs="Arial"/>
          <w:b/>
          <w:color w:val="000000"/>
          <w:szCs w:val="22"/>
          <w:lang w:val="en-GB" w:eastAsia="en-GB"/>
        </w:rPr>
        <w:t xml:space="preserve">Could you </w:t>
      </w:r>
      <w:r w:rsidR="006F4D72" w:rsidRPr="006F4D72">
        <w:rPr>
          <w:rFonts w:cs="Arial"/>
          <w:b/>
          <w:color w:val="000000"/>
          <w:szCs w:val="22"/>
          <w:lang w:val="en-GB" w:eastAsia="en-GB"/>
        </w:rPr>
        <w:t>provide feedback on the overall situation of payment behaviour in your country/sector and focus on what has changed since 2 years? Has the situation improved globally speaking?</w:t>
      </w:r>
    </w:p>
    <w:p w:rsidR="0053109B" w:rsidRPr="00410970" w:rsidRDefault="0053109B" w:rsidP="0053109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GB" w:eastAsia="en-GB"/>
        </w:rPr>
      </w:pPr>
      <w:r w:rsidRPr="00410970">
        <w:rPr>
          <w:rFonts w:cs="Arial"/>
          <w:color w:val="000000"/>
          <w:szCs w:val="22"/>
          <w:lang w:val="en-GB" w:eastAsia="en-GB"/>
        </w:rPr>
        <w:t xml:space="preserve"> </w:t>
      </w:r>
    </w:p>
    <w:p w:rsidR="0053109B" w:rsidRDefault="006F4D72" w:rsidP="0053109B">
      <w:pPr>
        <w:autoSpaceDE w:val="0"/>
        <w:autoSpaceDN w:val="0"/>
        <w:adjustRightInd w:val="0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>Thank you for your feedback by 10 March,</w:t>
      </w:r>
    </w:p>
    <w:p w:rsidR="006F4D72" w:rsidRDefault="006F4D72" w:rsidP="0053109B">
      <w:pPr>
        <w:autoSpaceDE w:val="0"/>
        <w:autoSpaceDN w:val="0"/>
        <w:adjustRightInd w:val="0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>Best regards,</w:t>
      </w:r>
    </w:p>
    <w:p w:rsidR="006F4D72" w:rsidRPr="00410970" w:rsidRDefault="006F4D72" w:rsidP="0053109B">
      <w:pPr>
        <w:autoSpaceDE w:val="0"/>
        <w:autoSpaceDN w:val="0"/>
        <w:adjustRightInd w:val="0"/>
        <w:rPr>
          <w:rFonts w:cs="Arial"/>
          <w:color w:val="000000"/>
          <w:szCs w:val="22"/>
          <w:lang w:val="en-GB" w:eastAsia="en-GB"/>
        </w:rPr>
      </w:pPr>
      <w:r>
        <w:rPr>
          <w:rFonts w:cs="Arial"/>
          <w:color w:val="000000"/>
          <w:szCs w:val="22"/>
          <w:lang w:val="en-GB" w:eastAsia="en-GB"/>
        </w:rPr>
        <w:t>Evelyne Dollet</w:t>
      </w:r>
    </w:p>
    <w:sectPr w:rsidR="006F4D72" w:rsidRPr="00410970" w:rsidSect="00A53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61" w:rsidRDefault="003A2061" w:rsidP="003A2061">
      <w:r>
        <w:separator/>
      </w:r>
    </w:p>
  </w:endnote>
  <w:endnote w:type="continuationSeparator" w:id="0">
    <w:p w:rsidR="003A2061" w:rsidRDefault="003A2061" w:rsidP="003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EA" w:rsidRDefault="00A53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61" w:rsidRPr="003A2061" w:rsidRDefault="003A2061" w:rsidP="003A2061">
    <w:pPr>
      <w:pStyle w:val="Footer"/>
      <w:jc w:val="right"/>
      <w:rPr>
        <w:rFonts w:cs="Arial"/>
        <w:color w:val="333399"/>
        <w:sz w:val="18"/>
      </w:rPr>
    </w:pPr>
    <w:r w:rsidRPr="003A2061">
      <w:rPr>
        <w:rFonts w:cs="Arial"/>
        <w:color w:val="333399"/>
        <w:sz w:val="18"/>
      </w:rPr>
      <w:fldChar w:fldCharType="begin"/>
    </w:r>
    <w:r w:rsidRPr="003A2061">
      <w:rPr>
        <w:rFonts w:cs="Arial"/>
        <w:color w:val="333399"/>
        <w:sz w:val="18"/>
      </w:rPr>
      <w:instrText xml:space="preserve"> PAGE \* MERGEFORMAT </w:instrText>
    </w:r>
    <w:r w:rsidRPr="003A2061">
      <w:rPr>
        <w:rFonts w:cs="Arial"/>
        <w:color w:val="333399"/>
        <w:sz w:val="18"/>
      </w:rPr>
      <w:fldChar w:fldCharType="separate"/>
    </w:r>
    <w:r w:rsidR="00410970">
      <w:rPr>
        <w:rFonts w:cs="Arial"/>
        <w:noProof/>
        <w:color w:val="333399"/>
        <w:sz w:val="18"/>
      </w:rPr>
      <w:t>2</w:t>
    </w:r>
    <w:r w:rsidRPr="003A2061">
      <w:rPr>
        <w:rFonts w:cs="Arial"/>
        <w:color w:val="333399"/>
        <w:sz w:val="18"/>
      </w:rPr>
      <w:fldChar w:fldCharType="end"/>
    </w:r>
    <w:r w:rsidRPr="003A2061">
      <w:rPr>
        <w:rFonts w:cs="Arial"/>
        <w:color w:val="333399"/>
        <w:sz w:val="18"/>
      </w:rPr>
      <w:t>/</w:t>
    </w:r>
    <w:r w:rsidRPr="003A2061">
      <w:rPr>
        <w:rFonts w:cs="Arial"/>
        <w:color w:val="333399"/>
        <w:sz w:val="18"/>
      </w:rPr>
      <w:fldChar w:fldCharType="begin"/>
    </w:r>
    <w:r w:rsidRPr="003A2061">
      <w:rPr>
        <w:rFonts w:cs="Arial"/>
        <w:color w:val="333399"/>
        <w:sz w:val="18"/>
      </w:rPr>
      <w:instrText xml:space="preserve"> NUMPAGES \* MERGEFORMAT </w:instrText>
    </w:r>
    <w:r w:rsidRPr="003A2061">
      <w:rPr>
        <w:rFonts w:cs="Arial"/>
        <w:color w:val="333399"/>
        <w:sz w:val="18"/>
      </w:rPr>
      <w:fldChar w:fldCharType="separate"/>
    </w:r>
    <w:r w:rsidR="00410970">
      <w:rPr>
        <w:rFonts w:cs="Arial"/>
        <w:noProof/>
        <w:color w:val="333399"/>
        <w:sz w:val="18"/>
      </w:rPr>
      <w:t>2</w:t>
    </w:r>
    <w:r w:rsidRPr="003A2061">
      <w:rPr>
        <w:rFonts w:cs="Arial"/>
        <w:color w:val="33339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EA" w:rsidRPr="00A53FEA" w:rsidRDefault="00A53FEA" w:rsidP="00A53FEA">
    <w:pPr>
      <w:pStyle w:val="Footer"/>
      <w:rPr>
        <w:rFonts w:cs="Arial"/>
        <w:color w:val="333399"/>
        <w:sz w:val="18"/>
      </w:rPr>
    </w:pPr>
    <w:bookmarkStart w:id="0" w:name="_GoBack"/>
    <w:bookmarkEnd w:id="0"/>
    <w:r w:rsidRPr="00A53FEA">
      <w:rPr>
        <w:rFonts w:cs="Arial"/>
        <w:color w:val="333399"/>
        <w:sz w:val="18"/>
      </w:rPr>
      <w:t>Avenue des Nerviens 9-31 - 1040 Brussels - BELGIUM - Tel. +32 2 514 11 11 </w:t>
    </w:r>
  </w:p>
  <w:p w:rsidR="00A53FEA" w:rsidRPr="00A53FEA" w:rsidRDefault="00A53FEA" w:rsidP="00A53FEA">
    <w:pPr>
      <w:pStyle w:val="Footer"/>
      <w:rPr>
        <w:rFonts w:cs="Arial"/>
        <w:color w:val="333399"/>
        <w:sz w:val="18"/>
      </w:rPr>
    </w:pPr>
    <w:r w:rsidRPr="00A53FEA">
      <w:rPr>
        <w:rFonts w:cs="Arial"/>
        <w:color w:val="333399"/>
        <w:sz w:val="18"/>
      </w:rPr>
      <w:t>info@fooddrinkeurope.eu - www.fooddrinkeurope.eu - ETI Register 75818824519-45</w:t>
    </w:r>
  </w:p>
  <w:p w:rsidR="003A2061" w:rsidRPr="00A53FEA" w:rsidRDefault="00A53FEA" w:rsidP="00A53FEA">
    <w:pPr>
      <w:pStyle w:val="Footer"/>
      <w:rPr>
        <w:rFonts w:cs="Arial"/>
        <w:color w:val="333399"/>
        <w:sz w:val="18"/>
      </w:rPr>
    </w:pPr>
    <w:r w:rsidRPr="00A53FEA">
      <w:rPr>
        <w:rFonts w:cs="Arial"/>
        <w:color w:val="333399"/>
        <w:sz w:val="18"/>
      </w:rPr>
      <w:t>Copyright FoodDrinkEurope aisbl; photocopying or electronic copying is illegal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61" w:rsidRDefault="003A2061" w:rsidP="003A2061">
      <w:r>
        <w:separator/>
      </w:r>
    </w:p>
  </w:footnote>
  <w:footnote w:type="continuationSeparator" w:id="0">
    <w:p w:rsidR="003A2061" w:rsidRDefault="003A2061" w:rsidP="003A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EA" w:rsidRDefault="00A53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6"/>
      <w:gridCol w:w="2592"/>
    </w:tblGrid>
    <w:tr w:rsidR="003A2061" w:rsidRPr="003A2061" w:rsidTr="003A2061">
      <w:tc>
        <w:tcPr>
          <w:tcW w:w="4644" w:type="dxa"/>
          <w:shd w:val="clear" w:color="auto" w:fill="auto"/>
        </w:tcPr>
        <w:p w:rsidR="003A2061" w:rsidRPr="003A2061" w:rsidRDefault="00A53FEA" w:rsidP="003A2061">
          <w:pPr>
            <w:pStyle w:val="Header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4pt;height:66.75pt">
                <v:imagedata r:id="rId1" o:title="AllPages_Small_2"/>
              </v:shape>
            </w:pict>
          </w:r>
        </w:p>
      </w:tc>
      <w:tc>
        <w:tcPr>
          <w:tcW w:w="4644" w:type="dxa"/>
          <w:shd w:val="clear" w:color="auto" w:fill="auto"/>
        </w:tcPr>
        <w:p w:rsidR="003A2061" w:rsidRPr="003A2061" w:rsidRDefault="003A2061" w:rsidP="003A2061">
          <w:pPr>
            <w:pStyle w:val="Header"/>
            <w:jc w:val="right"/>
            <w:rPr>
              <w:rFonts w:cs="Arial"/>
              <w:sz w:val="18"/>
            </w:rPr>
          </w:pPr>
        </w:p>
        <w:p w:rsidR="003A2061" w:rsidRPr="003A2061" w:rsidRDefault="003A2061" w:rsidP="003A2061">
          <w:pPr>
            <w:pStyle w:val="Header"/>
            <w:jc w:val="right"/>
            <w:rPr>
              <w:rFonts w:cs="Arial"/>
              <w:sz w:val="18"/>
            </w:rPr>
          </w:pPr>
        </w:p>
        <w:p w:rsidR="003A2061" w:rsidRPr="003A2061" w:rsidRDefault="003A2061" w:rsidP="003A2061">
          <w:pPr>
            <w:pStyle w:val="Header"/>
            <w:jc w:val="right"/>
            <w:rPr>
              <w:rFonts w:cs="Arial"/>
              <w:sz w:val="18"/>
            </w:rPr>
          </w:pPr>
          <w:r w:rsidRPr="003A2061">
            <w:rPr>
              <w:rFonts w:cs="Arial"/>
              <w:sz w:val="18"/>
            </w:rPr>
            <w:t>COMP/CORE/010/17E</w:t>
          </w:r>
        </w:p>
      </w:tc>
    </w:tr>
  </w:tbl>
  <w:p w:rsidR="003A2061" w:rsidRPr="003A2061" w:rsidRDefault="003A2061" w:rsidP="003A2061">
    <w:pPr>
      <w:pStyle w:val="Header"/>
      <w:jc w:val="right"/>
      <w:rPr>
        <w:rFonts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6"/>
      <w:gridCol w:w="2592"/>
    </w:tblGrid>
    <w:tr w:rsidR="00A53FEA" w:rsidRPr="00A53FEA" w:rsidTr="00A53FEA">
      <w:tc>
        <w:tcPr>
          <w:tcW w:w="4606" w:type="dxa"/>
          <w:shd w:val="clear" w:color="auto" w:fill="auto"/>
        </w:tcPr>
        <w:p w:rsidR="00A53FEA" w:rsidRPr="00A53FEA" w:rsidRDefault="00A53FEA" w:rsidP="00A53FEA">
          <w:pPr>
            <w:pStyle w:val="Header"/>
            <w:jc w:val="right"/>
            <w:rPr>
              <w:rFonts w:cs="Arial"/>
              <w:sz w:val="18"/>
            </w:rPr>
          </w:pPr>
          <w:r w:rsidRPr="00A53FEA">
            <w:rPr>
              <w:rFonts w:cs="Arial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324pt;height:132.75pt">
                <v:imagedata r:id="rId1" o:title="FirstPage_Big_2"/>
              </v:shape>
            </w:pict>
          </w:r>
        </w:p>
      </w:tc>
      <w:tc>
        <w:tcPr>
          <w:tcW w:w="4606" w:type="dxa"/>
          <w:shd w:val="clear" w:color="auto" w:fill="auto"/>
        </w:tcPr>
        <w:p w:rsidR="00A53FEA" w:rsidRPr="00A53FEA" w:rsidRDefault="00A53FEA" w:rsidP="00A53FEA">
          <w:pPr>
            <w:pStyle w:val="Header"/>
            <w:jc w:val="right"/>
            <w:rPr>
              <w:rFonts w:cs="Arial"/>
              <w:sz w:val="18"/>
            </w:rPr>
          </w:pPr>
        </w:p>
        <w:p w:rsidR="00A53FEA" w:rsidRPr="00A53FEA" w:rsidRDefault="00A53FEA" w:rsidP="00A53FEA">
          <w:pPr>
            <w:pStyle w:val="Header"/>
            <w:jc w:val="right"/>
            <w:rPr>
              <w:rFonts w:cs="Arial"/>
              <w:sz w:val="18"/>
            </w:rPr>
          </w:pPr>
        </w:p>
        <w:p w:rsidR="00A53FEA" w:rsidRPr="00A53FEA" w:rsidRDefault="00A53FEA" w:rsidP="00A53FEA">
          <w:pPr>
            <w:pStyle w:val="Header"/>
            <w:jc w:val="right"/>
            <w:rPr>
              <w:rFonts w:cs="Arial"/>
              <w:sz w:val="18"/>
            </w:rPr>
          </w:pPr>
          <w:r w:rsidRPr="00A53FEA">
            <w:rPr>
              <w:rFonts w:cs="Arial"/>
              <w:sz w:val="18"/>
            </w:rPr>
            <w:t>COMP/CORE/010/17E</w:t>
          </w:r>
        </w:p>
      </w:tc>
    </w:tr>
  </w:tbl>
  <w:p w:rsidR="003A2061" w:rsidRPr="00A53FEA" w:rsidRDefault="003A2061" w:rsidP="00A53FEA">
    <w:pPr>
      <w:pStyle w:val="Header"/>
      <w:jc w:val="right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3A"/>
    <w:multiLevelType w:val="hybridMultilevel"/>
    <w:tmpl w:val="2F88FA32"/>
    <w:lvl w:ilvl="0" w:tplc="36C8266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FED"/>
    <w:multiLevelType w:val="hybridMultilevel"/>
    <w:tmpl w:val="3E5E0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25"/>
    <w:rsid w:val="00020291"/>
    <w:rsid w:val="00242C81"/>
    <w:rsid w:val="00286747"/>
    <w:rsid w:val="002F7576"/>
    <w:rsid w:val="003A2061"/>
    <w:rsid w:val="00410970"/>
    <w:rsid w:val="0053109B"/>
    <w:rsid w:val="005C49D0"/>
    <w:rsid w:val="006F4D72"/>
    <w:rsid w:val="007A1745"/>
    <w:rsid w:val="00826C08"/>
    <w:rsid w:val="009B6E5B"/>
    <w:rsid w:val="00A53FEA"/>
    <w:rsid w:val="00B772D4"/>
    <w:rsid w:val="00BF1FD6"/>
    <w:rsid w:val="00D63432"/>
    <w:rsid w:val="00E7365A"/>
    <w:rsid w:val="00EC2C25"/>
    <w:rsid w:val="00EC5ADF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D"/>
    <w:rPr>
      <w:sz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65A"/>
    <w:pPr>
      <w:keepNext/>
      <w:outlineLvl w:val="0"/>
    </w:pPr>
    <w:rPr>
      <w:rFonts w:eastAsia="Times New Roman"/>
      <w:b/>
      <w:bCs/>
      <w:color w:val="0D1957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5A"/>
    <w:pPr>
      <w:keepNext/>
      <w:numPr>
        <w:numId w:val="1"/>
      </w:numPr>
      <w:ind w:left="360"/>
      <w:outlineLvl w:val="1"/>
    </w:pPr>
    <w:rPr>
      <w:rFonts w:eastAsia="Times New Roman"/>
      <w:b/>
      <w:bCs/>
      <w:iCs/>
      <w:color w:val="005A24"/>
      <w:sz w:val="24"/>
      <w:szCs w:val="28"/>
    </w:rPr>
  </w:style>
  <w:style w:type="paragraph" w:styleId="Heading3">
    <w:name w:val="heading 3"/>
    <w:aliases w:val="Conclusion"/>
    <w:basedOn w:val="Normal"/>
    <w:next w:val="Normal"/>
    <w:link w:val="Heading3Char"/>
    <w:uiPriority w:val="9"/>
    <w:unhideWhenUsed/>
    <w:qFormat/>
    <w:rsid w:val="00E7365A"/>
    <w:pPr>
      <w:keepNext/>
      <w:framePr w:wrap="around" w:vAnchor="text" w:hAnchor="text" w:y="1"/>
      <w:pBdr>
        <w:top w:val="single" w:sz="24" w:space="4" w:color="0D1957"/>
        <w:left w:val="single" w:sz="24" w:space="4" w:color="0D1957"/>
        <w:bottom w:val="single" w:sz="24" w:space="4" w:color="0D1957"/>
        <w:right w:val="single" w:sz="24" w:space="4" w:color="0D1957"/>
      </w:pBdr>
      <w:outlineLvl w:val="2"/>
    </w:pPr>
    <w:rPr>
      <w:rFonts w:eastAsia="Times New Roman"/>
      <w:b/>
      <w:bCs/>
      <w:color w:val="0D195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365A"/>
    <w:rPr>
      <w:rFonts w:eastAsia="Times New Roman"/>
      <w:b/>
      <w:bCs/>
      <w:color w:val="0D1957"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E7365A"/>
    <w:rPr>
      <w:rFonts w:eastAsia="Times New Roman"/>
      <w:b/>
      <w:bCs/>
      <w:iCs/>
      <w:color w:val="005A24"/>
      <w:sz w:val="24"/>
      <w:szCs w:val="28"/>
    </w:rPr>
  </w:style>
  <w:style w:type="character" w:customStyle="1" w:styleId="Heading3Char">
    <w:name w:val="Heading 3 Char"/>
    <w:aliases w:val="Conclusion Char"/>
    <w:link w:val="Heading3"/>
    <w:uiPriority w:val="9"/>
    <w:rsid w:val="00E7365A"/>
    <w:rPr>
      <w:rFonts w:eastAsia="Times New Roman"/>
      <w:b/>
      <w:bCs/>
      <w:color w:val="0D1957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3A2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61"/>
    <w:rPr>
      <w:sz w:val="22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3A2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61"/>
    <w:rPr>
      <w:sz w:val="22"/>
      <w:lang w:val="fr-BE" w:eastAsia="fr-BE"/>
    </w:rPr>
  </w:style>
  <w:style w:type="table" w:styleId="TableGrid">
    <w:name w:val="Table Grid"/>
    <w:basedOn w:val="TableNormal"/>
    <w:uiPriority w:val="59"/>
    <w:rsid w:val="003A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1289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</dc:creator>
  <cp:keywords/>
  <cp:lastModifiedBy>Windows User</cp:lastModifiedBy>
  <cp:revision>2</cp:revision>
  <dcterms:created xsi:type="dcterms:W3CDTF">2017-02-22T21:01:00Z</dcterms:created>
  <dcterms:modified xsi:type="dcterms:W3CDTF">2017-02-22T21:01:00Z</dcterms:modified>
</cp:coreProperties>
</file>