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323" w:rsidRPr="006D0323" w:rsidRDefault="006D0323" w:rsidP="006D0323">
      <w:pPr>
        <w:pStyle w:val="ListeParagraf"/>
        <w:spacing w:before="0" w:beforeAutospacing="0" w:after="0" w:afterAutospacing="0"/>
        <w:ind w:left="1068" w:hanging="360"/>
        <w:contextualSpacing/>
        <w:jc w:val="center"/>
        <w:rPr>
          <w:b/>
          <w:bCs/>
          <w:sz w:val="27"/>
          <w:szCs w:val="27"/>
        </w:rPr>
      </w:pPr>
      <w:r w:rsidRPr="006D0323">
        <w:rPr>
          <w:b/>
          <w:bCs/>
          <w:sz w:val="27"/>
          <w:szCs w:val="27"/>
        </w:rPr>
        <w:t>ULUSAL GIDA K</w:t>
      </w:r>
      <w:r w:rsidR="00A252B2">
        <w:rPr>
          <w:b/>
          <w:bCs/>
          <w:sz w:val="27"/>
          <w:szCs w:val="27"/>
        </w:rPr>
        <w:t>ODEKSİ KOMİSYONU TOPLANTI KARARLARI</w:t>
      </w:r>
    </w:p>
    <w:p w:rsidR="006D0323" w:rsidRPr="006D0323" w:rsidRDefault="006D0323" w:rsidP="006D0323">
      <w:pPr>
        <w:pStyle w:val="ListeParagraf"/>
        <w:spacing w:before="0" w:beforeAutospacing="0" w:after="0" w:afterAutospacing="0"/>
        <w:ind w:left="1068" w:hanging="360"/>
        <w:contextualSpacing/>
        <w:jc w:val="center"/>
        <w:rPr>
          <w:b/>
          <w:bCs/>
          <w:sz w:val="27"/>
          <w:szCs w:val="27"/>
        </w:rPr>
      </w:pPr>
      <w:r w:rsidRPr="006D0323">
        <w:rPr>
          <w:b/>
          <w:bCs/>
          <w:sz w:val="27"/>
          <w:szCs w:val="27"/>
        </w:rPr>
        <w:t>11 Ocak 2017- 2017/1</w:t>
      </w:r>
    </w:p>
    <w:p w:rsidR="006D0323" w:rsidRPr="006D0323" w:rsidRDefault="006D0323" w:rsidP="006D0323">
      <w:pPr>
        <w:pStyle w:val="ListeParagraf"/>
        <w:spacing w:before="0" w:beforeAutospacing="0" w:after="0" w:afterAutospacing="0"/>
        <w:ind w:left="1068" w:hanging="360"/>
        <w:contextualSpacing/>
        <w:jc w:val="both"/>
        <w:rPr>
          <w:b/>
          <w:bCs/>
          <w:sz w:val="27"/>
          <w:szCs w:val="27"/>
        </w:rPr>
      </w:pPr>
    </w:p>
    <w:p w:rsidR="006D0323" w:rsidRPr="006D0323" w:rsidRDefault="006D0323" w:rsidP="006D0323">
      <w:pPr>
        <w:contextualSpacing/>
        <w:jc w:val="both"/>
        <w:rPr>
          <w:b/>
          <w:bCs/>
          <w:sz w:val="27"/>
          <w:szCs w:val="27"/>
        </w:rPr>
      </w:pPr>
    </w:p>
    <w:p w:rsidR="006D0323" w:rsidRDefault="006D0323" w:rsidP="006D0323">
      <w:pPr>
        <w:pStyle w:val="ListeParagraf"/>
        <w:spacing w:before="0" w:beforeAutospacing="0" w:after="0" w:afterAutospacing="0"/>
        <w:ind w:left="1068" w:hanging="360"/>
        <w:contextualSpacing/>
        <w:jc w:val="both"/>
      </w:pPr>
      <w:r>
        <w:rPr>
          <w:b/>
          <w:bCs/>
          <w:sz w:val="27"/>
          <w:szCs w:val="27"/>
        </w:rPr>
        <w:t>1. AB uyum çerçevesinde</w:t>
      </w:r>
    </w:p>
    <w:p w:rsidR="006D0323" w:rsidRDefault="006D0323" w:rsidP="006D0323">
      <w:pPr>
        <w:ind w:left="360"/>
        <w:jc w:val="both"/>
      </w:pPr>
    </w:p>
    <w:p w:rsidR="006D0323" w:rsidRDefault="006D0323" w:rsidP="006D0323">
      <w:pPr>
        <w:ind w:left="360"/>
        <w:jc w:val="both"/>
      </w:pPr>
      <w:r>
        <w:rPr>
          <w:rStyle w:val="apple-tab-span"/>
        </w:rPr>
        <w:tab/>
      </w:r>
      <w:r w:rsidR="00A252B2">
        <w:rPr>
          <w:rStyle w:val="apple-tab-span"/>
        </w:rPr>
        <w:t>-</w:t>
      </w:r>
      <w:r>
        <w:t xml:space="preserve">"Türk Gıda Kodeksi Gıda Katkı Maddelerinin </w:t>
      </w:r>
      <w:proofErr w:type="spellStart"/>
      <w:r>
        <w:t>Spesifikasyonları</w:t>
      </w:r>
      <w:proofErr w:type="spellEnd"/>
      <w:r>
        <w:t xml:space="preserve"> Hakkında Yönetmelik" </w:t>
      </w:r>
    </w:p>
    <w:p w:rsidR="006D0323" w:rsidRDefault="006D0323" w:rsidP="006D0323">
      <w:pPr>
        <w:ind w:left="360"/>
        <w:jc w:val="both"/>
      </w:pPr>
    </w:p>
    <w:p w:rsidR="006D0323" w:rsidRDefault="006D0323" w:rsidP="006D0323">
      <w:pPr>
        <w:ind w:left="360"/>
        <w:jc w:val="both"/>
      </w:pPr>
      <w:r>
        <w:rPr>
          <w:rStyle w:val="apple-tab-span"/>
        </w:rPr>
        <w:tab/>
      </w:r>
      <w:r w:rsidR="00A252B2">
        <w:rPr>
          <w:rStyle w:val="apple-tab-span"/>
        </w:rPr>
        <w:t>-</w:t>
      </w:r>
      <w:r>
        <w:t>"Türk Gıda Kodeksi Gıdalarda Eser Elementler ve Bulaşan Seviyelerinin   Resmi Kontrolü İçin Numune Alma, Numune Hazırlama ve Analiz Metodu Kriterleri Tebliği"</w:t>
      </w:r>
    </w:p>
    <w:p w:rsidR="006D0323" w:rsidRDefault="006D0323" w:rsidP="006D0323">
      <w:pPr>
        <w:ind w:left="360"/>
        <w:jc w:val="both"/>
      </w:pPr>
    </w:p>
    <w:p w:rsidR="006D0323" w:rsidRDefault="006D0323" w:rsidP="006D0323">
      <w:pPr>
        <w:ind w:left="360"/>
        <w:jc w:val="both"/>
      </w:pPr>
      <w:r>
        <w:rPr>
          <w:rStyle w:val="apple-tab-span"/>
        </w:rPr>
        <w:tab/>
      </w:r>
      <w:r w:rsidR="00A252B2">
        <w:rPr>
          <w:rStyle w:val="apple-tab-span"/>
        </w:rPr>
        <w:t>-</w:t>
      </w:r>
      <w:r>
        <w:t xml:space="preserve">"Türk Gıda Kodeksi </w:t>
      </w:r>
      <w:proofErr w:type="spellStart"/>
      <w:r>
        <w:t>Distile</w:t>
      </w:r>
      <w:proofErr w:type="spellEnd"/>
      <w:r>
        <w:t xml:space="preserve"> Alkollü İçkiler Analiz Metotları Tebliği"</w:t>
      </w:r>
    </w:p>
    <w:p w:rsidR="006D0323" w:rsidRDefault="006D0323" w:rsidP="006D0323">
      <w:pPr>
        <w:ind w:left="360"/>
        <w:jc w:val="both"/>
      </w:pPr>
    </w:p>
    <w:p w:rsidR="006D0323" w:rsidRDefault="006D0323" w:rsidP="00A252B2">
      <w:pPr>
        <w:ind w:left="360"/>
        <w:jc w:val="both"/>
      </w:pPr>
      <w:r>
        <w:rPr>
          <w:rStyle w:val="apple-tab-span"/>
        </w:rPr>
        <w:tab/>
      </w:r>
      <w:r w:rsidR="00A252B2">
        <w:rPr>
          <w:rStyle w:val="apple-tab-span"/>
        </w:rPr>
        <w:t>-</w:t>
      </w:r>
      <w:r>
        <w:t>"Türk Gıda Kodeksi Hayvansal Gıdalarda Bulunabilecek Farmakolojik Aktif Maddelerin Sınıflandırılması ve Maksimum Kalıntı Limitleri Yönetmeliği" </w:t>
      </w:r>
    </w:p>
    <w:p w:rsidR="006D0323" w:rsidRDefault="006D0323" w:rsidP="006D0323">
      <w:pPr>
        <w:ind w:left="360"/>
        <w:jc w:val="both"/>
      </w:pPr>
      <w:proofErr w:type="gramStart"/>
      <w:r>
        <w:rPr>
          <w:b/>
          <w:bCs/>
          <w:i/>
          <w:iCs/>
          <w:color w:val="FF4013"/>
        </w:rPr>
        <w:t>revize</w:t>
      </w:r>
      <w:proofErr w:type="gramEnd"/>
      <w:r>
        <w:rPr>
          <w:b/>
          <w:bCs/>
          <w:i/>
          <w:iCs/>
          <w:color w:val="FF4013"/>
        </w:rPr>
        <w:t xml:space="preserve"> edilerek yayınlanmasına</w:t>
      </w:r>
    </w:p>
    <w:p w:rsidR="006D0323" w:rsidRDefault="006D0323" w:rsidP="006D0323">
      <w:pPr>
        <w:jc w:val="both"/>
        <w:rPr>
          <w:rFonts w:eastAsia="Times New Roman"/>
        </w:rPr>
      </w:pPr>
    </w:p>
    <w:p w:rsidR="006D0323" w:rsidRDefault="006D0323" w:rsidP="006D0323">
      <w:pPr>
        <w:jc w:val="both"/>
        <w:rPr>
          <w:rFonts w:eastAsia="Times New Roman"/>
        </w:rPr>
      </w:pPr>
      <w:r>
        <w:rPr>
          <w:rStyle w:val="apple-tab-span"/>
          <w:rFonts w:eastAsia="Times New Roman"/>
        </w:rPr>
        <w:tab/>
      </w:r>
      <w:r w:rsidR="00A252B2">
        <w:rPr>
          <w:rStyle w:val="apple-tab-span"/>
          <w:rFonts w:eastAsia="Times New Roman"/>
        </w:rPr>
        <w:t>-</w:t>
      </w:r>
      <w:r>
        <w:rPr>
          <w:rFonts w:eastAsia="Times New Roman"/>
        </w:rPr>
        <w:t>"Türk Gıda Kodeksi Üzüm Pekmezi Tebliği" (taklit ve tağşişle mücadele kapsamında)</w:t>
      </w:r>
      <w:r>
        <w:rPr>
          <w:rFonts w:eastAsia="Times New Roman"/>
          <w:i/>
          <w:iCs/>
          <w:color w:val="FF4013"/>
        </w:rPr>
        <w:t> </w:t>
      </w:r>
      <w:r>
        <w:rPr>
          <w:rFonts w:eastAsia="Times New Roman"/>
          <w:b/>
          <w:bCs/>
          <w:i/>
          <w:iCs/>
          <w:color w:val="FF4013"/>
        </w:rPr>
        <w:t>HMF değerinin tekrar  değerlendirilmesine ve raf ömrünün 1,5 yıl ile sınırlandırılmasına,</w:t>
      </w:r>
    </w:p>
    <w:p w:rsidR="006D0323" w:rsidRDefault="006D0323" w:rsidP="006D0323">
      <w:pPr>
        <w:ind w:left="360"/>
        <w:jc w:val="both"/>
      </w:pPr>
      <w:r>
        <w:t>  </w:t>
      </w:r>
      <w:bookmarkStart w:id="0" w:name="_GoBack"/>
      <w:bookmarkEnd w:id="0"/>
    </w:p>
    <w:p w:rsidR="006D0323" w:rsidRDefault="00A252B2" w:rsidP="006D0323">
      <w:pPr>
        <w:ind w:left="360"/>
        <w:jc w:val="both"/>
      </w:pPr>
      <w:r>
        <w:t>      - </w:t>
      </w:r>
      <w:r w:rsidR="006D0323">
        <w:t xml:space="preserve">"Türk Gıda Kodeksi Takviye Edici Gıdalar Tebliği’nde Değişiklik Yapılmasına Dair </w:t>
      </w:r>
      <w:proofErr w:type="spellStart"/>
      <w:r w:rsidR="006D0323">
        <w:t>Tebliğ"in</w:t>
      </w:r>
      <w:proofErr w:type="spellEnd"/>
      <w:r w:rsidR="006D0323">
        <w:rPr>
          <w:i/>
          <w:iCs/>
        </w:rPr>
        <w:t> </w:t>
      </w:r>
      <w:r w:rsidR="006D0323">
        <w:rPr>
          <w:b/>
          <w:bCs/>
          <w:i/>
          <w:iCs/>
          <w:color w:val="FF4013"/>
        </w:rPr>
        <w:t>1yıl ertelenmesine karar verilmiştir.</w:t>
      </w:r>
    </w:p>
    <w:p w:rsidR="006D0323" w:rsidRDefault="006D0323" w:rsidP="006D0323">
      <w:pPr>
        <w:ind w:left="360"/>
        <w:jc w:val="both"/>
      </w:pPr>
      <w:r>
        <w:rPr>
          <w:b/>
          <w:bCs/>
        </w:rPr>
        <w:t> </w:t>
      </w:r>
      <w:r>
        <w:rPr>
          <w:rStyle w:val="apple-tab-span"/>
          <w:b/>
          <w:bCs/>
        </w:rPr>
        <w:tab/>
      </w:r>
      <w:r>
        <w:rPr>
          <w:rStyle w:val="apple-tab-span"/>
          <w:b/>
          <w:bCs/>
        </w:rPr>
        <w:tab/>
      </w:r>
    </w:p>
    <w:p w:rsidR="006D0323" w:rsidRDefault="006D0323" w:rsidP="006D0323">
      <w:pPr>
        <w:ind w:hanging="384"/>
        <w:jc w:val="both"/>
        <w:rPr>
          <w:rFonts w:eastAsia="Times New Roman"/>
        </w:rPr>
      </w:pPr>
      <w:r>
        <w:rPr>
          <w:rStyle w:val="apple-tab-span"/>
          <w:rFonts w:eastAsia="Times New Roman"/>
          <w:b/>
          <w:bCs/>
          <w:sz w:val="27"/>
          <w:szCs w:val="27"/>
        </w:rPr>
        <w:tab/>
      </w:r>
      <w:r>
        <w:rPr>
          <w:rStyle w:val="apple-tab-span"/>
          <w:rFonts w:eastAsia="Times New Roman"/>
          <w:b/>
          <w:bCs/>
          <w:sz w:val="27"/>
          <w:szCs w:val="27"/>
        </w:rPr>
        <w:tab/>
      </w:r>
      <w:r>
        <w:rPr>
          <w:rFonts w:eastAsia="Times New Roman"/>
          <w:b/>
          <w:bCs/>
          <w:sz w:val="27"/>
          <w:szCs w:val="27"/>
        </w:rPr>
        <w:t>2. Görüşe açılmasına karar verilen yönetmelikler</w:t>
      </w:r>
    </w:p>
    <w:p w:rsidR="006D0323" w:rsidRDefault="006D0323" w:rsidP="006D0323">
      <w:pPr>
        <w:jc w:val="both"/>
        <w:rPr>
          <w:rFonts w:eastAsia="Times New Roman"/>
        </w:rPr>
      </w:pPr>
    </w:p>
    <w:p w:rsidR="006D0323" w:rsidRDefault="006D0323" w:rsidP="006D0323">
      <w:pPr>
        <w:jc w:val="both"/>
        <w:rPr>
          <w:rFonts w:eastAsia="Times New Roman"/>
        </w:rPr>
      </w:pPr>
      <w:r>
        <w:rPr>
          <w:rStyle w:val="apple-tab-span"/>
          <w:rFonts w:eastAsia="Times New Roman"/>
          <w:b/>
          <w:bCs/>
        </w:rPr>
        <w:tab/>
      </w:r>
      <w:r w:rsidR="00A252B2">
        <w:rPr>
          <w:rStyle w:val="apple-tab-span"/>
          <w:rFonts w:eastAsia="Times New Roman"/>
          <w:b/>
          <w:bCs/>
        </w:rPr>
        <w:t>-</w:t>
      </w:r>
      <w:r>
        <w:rPr>
          <w:rFonts w:eastAsia="Times New Roman"/>
        </w:rPr>
        <w:t>Türk Gıda Kodeksi Gıda İle Temas Eden Madde ve Malzemeler Yönetmeliği</w:t>
      </w:r>
    </w:p>
    <w:p w:rsidR="006D0323" w:rsidRDefault="00A252B2" w:rsidP="006D0323">
      <w:pPr>
        <w:pStyle w:val="ListeParagraf"/>
        <w:spacing w:before="0" w:beforeAutospacing="0" w:after="0" w:afterAutospacing="0"/>
        <w:ind w:left="1068" w:hanging="360"/>
        <w:contextualSpacing/>
        <w:jc w:val="both"/>
      </w:pPr>
      <w:r>
        <w:t>-</w:t>
      </w:r>
      <w:r w:rsidR="006D0323">
        <w:t>Türk Gıda Kodeksi Gıda ile Temas Eden Aktif ve Akıllı Madde ve Malzemeler Tebliği</w:t>
      </w:r>
    </w:p>
    <w:p w:rsidR="006D0323" w:rsidRDefault="006D0323" w:rsidP="006D0323">
      <w:pPr>
        <w:spacing w:before="100" w:beforeAutospacing="1"/>
        <w:jc w:val="both"/>
      </w:pPr>
      <w:r>
        <w:rPr>
          <w:rStyle w:val="apple-tab-span"/>
          <w:b/>
          <w:bCs/>
          <w:sz w:val="27"/>
          <w:szCs w:val="27"/>
        </w:rPr>
        <w:tab/>
      </w:r>
      <w:r>
        <w:rPr>
          <w:b/>
          <w:bCs/>
        </w:rPr>
        <w:t>  </w:t>
      </w:r>
      <w:r>
        <w:rPr>
          <w:b/>
          <w:bCs/>
          <w:sz w:val="27"/>
          <w:szCs w:val="27"/>
        </w:rPr>
        <w:t>3. Gelen Taleplerin Değerlendirilmesi</w:t>
      </w:r>
    </w:p>
    <w:p w:rsidR="006D0323" w:rsidRDefault="006D0323" w:rsidP="006D0323">
      <w:pPr>
        <w:pStyle w:val="ListeParagraf"/>
        <w:spacing w:before="0" w:beforeAutospacing="0" w:after="0" w:afterAutospacing="0"/>
        <w:ind w:left="1068"/>
        <w:contextualSpacing/>
        <w:jc w:val="both"/>
      </w:pPr>
      <w:r>
        <w:rPr>
          <w:b/>
          <w:bCs/>
        </w:rPr>
        <w:t> </w:t>
      </w:r>
    </w:p>
    <w:p w:rsidR="006D0323" w:rsidRDefault="00A252B2" w:rsidP="006D0323">
      <w:pPr>
        <w:pStyle w:val="ListeParagraf"/>
        <w:ind w:left="1068" w:hanging="360"/>
        <w:contextualSpacing/>
        <w:jc w:val="both"/>
      </w:pPr>
      <w:r>
        <w:rPr>
          <w:rFonts w:eastAsia="Times New Roman"/>
          <w:b/>
          <w:bCs/>
        </w:rPr>
        <w:t>-</w:t>
      </w:r>
      <w:r w:rsidR="006D0323">
        <w:t xml:space="preserve"> </w:t>
      </w:r>
      <w:proofErr w:type="spellStart"/>
      <w:r w:rsidR="006D0323">
        <w:t>GIDAKAT’ın</w:t>
      </w:r>
      <w:proofErr w:type="spellEnd"/>
      <w:r w:rsidR="006D0323">
        <w:t xml:space="preserve"> Dondurulmuş hamur teknolojisi ile üretilmiş ekmeklerin TGK Gıda Katkı Maddeleri Yönetmeliğindeki;  07.1.1.2 numaralı “Hazır ambalajlı olarak piyasaya arz edilen ürünler” başlıklı gıda kategorisi kapsamına alınması talebinin </w:t>
      </w:r>
      <w:r w:rsidR="006D0323" w:rsidRPr="006D0323">
        <w:rPr>
          <w:b/>
          <w:bCs/>
          <w:color w:val="E32400"/>
        </w:rPr>
        <w:t>Bakanlıkça tekrar değerlendirilmesine,</w:t>
      </w:r>
    </w:p>
    <w:p w:rsidR="006D0323" w:rsidRDefault="00A252B2" w:rsidP="006D0323">
      <w:pPr>
        <w:pStyle w:val="ListeParagraf"/>
        <w:ind w:left="1068" w:hanging="360"/>
        <w:contextualSpacing/>
        <w:jc w:val="both"/>
      </w:pPr>
      <w:r>
        <w:rPr>
          <w:rFonts w:eastAsia="Times New Roman"/>
          <w:b/>
          <w:bCs/>
        </w:rPr>
        <w:t>-</w:t>
      </w:r>
      <w:r w:rsidR="006D0323">
        <w:t xml:space="preserve"> Bitkisel Yağ Sanayicileri Derneğinin TGK-Bitki Adı ile Anılan Yağlar Tebliğinde </w:t>
      </w:r>
      <w:proofErr w:type="spellStart"/>
      <w:r w:rsidR="006D0323">
        <w:t>aspir</w:t>
      </w:r>
      <w:proofErr w:type="spellEnd"/>
      <w:r w:rsidR="006D0323">
        <w:t xml:space="preserve"> yağı ile ilgili değişiklik yağı talebinin </w:t>
      </w:r>
      <w:proofErr w:type="spellStart"/>
      <w:r w:rsidR="006D0323">
        <w:rPr>
          <w:b/>
          <w:bCs/>
          <w:color w:val="E32400"/>
        </w:rPr>
        <w:t>İAK’da</w:t>
      </w:r>
      <w:proofErr w:type="spellEnd"/>
      <w:r w:rsidR="006D0323">
        <w:rPr>
          <w:b/>
          <w:bCs/>
          <w:color w:val="E32400"/>
        </w:rPr>
        <w:t xml:space="preserve"> görüşülmesine</w:t>
      </w:r>
    </w:p>
    <w:p w:rsidR="006D0323" w:rsidRDefault="00A252B2" w:rsidP="006D0323">
      <w:pPr>
        <w:pStyle w:val="ListeParagraf"/>
        <w:ind w:left="1068" w:hanging="360"/>
        <w:contextualSpacing/>
        <w:jc w:val="both"/>
      </w:pPr>
      <w:r>
        <w:rPr>
          <w:rFonts w:eastAsia="Times New Roman"/>
          <w:b/>
          <w:bCs/>
        </w:rPr>
        <w:t>-</w:t>
      </w:r>
      <w:r w:rsidR="006D0323">
        <w:t>Altaş Yağ San. Ve Tic. A.Ş.’</w:t>
      </w:r>
      <w:proofErr w:type="spellStart"/>
      <w:r w:rsidR="006D0323">
        <w:t>nin</w:t>
      </w:r>
      <w:proofErr w:type="spellEnd"/>
      <w:r w:rsidR="006D0323">
        <w:t xml:space="preserve"> ve TSE’nin TGK-Bitki Adı ile Anılan Yağlar Tebliğinde fındık yağı ile ilgili değişiklik talebinin</w:t>
      </w:r>
      <w:r w:rsidR="006D0323">
        <w:rPr>
          <w:b/>
          <w:bCs/>
          <w:color w:val="FF4013"/>
        </w:rPr>
        <w:t xml:space="preserve"> </w:t>
      </w:r>
      <w:proofErr w:type="spellStart"/>
      <w:r w:rsidR="006D0323">
        <w:rPr>
          <w:b/>
          <w:bCs/>
          <w:color w:val="FF4013"/>
        </w:rPr>
        <w:t>İAK’da</w:t>
      </w:r>
      <w:proofErr w:type="spellEnd"/>
      <w:r w:rsidR="006D0323">
        <w:rPr>
          <w:b/>
          <w:bCs/>
          <w:color w:val="FF4013"/>
        </w:rPr>
        <w:t xml:space="preserve"> görüşülmesine</w:t>
      </w:r>
    </w:p>
    <w:p w:rsidR="006D0323" w:rsidRDefault="00A252B2" w:rsidP="006D0323">
      <w:pPr>
        <w:pStyle w:val="ListeParagraf"/>
        <w:ind w:left="1068" w:hanging="360"/>
        <w:contextualSpacing/>
        <w:jc w:val="both"/>
      </w:pPr>
      <w:r>
        <w:rPr>
          <w:rFonts w:eastAsia="Times New Roman"/>
          <w:b/>
          <w:bCs/>
        </w:rPr>
        <w:t>-</w:t>
      </w:r>
      <w:proofErr w:type="spellStart"/>
      <w:r w:rsidR="006D0323">
        <w:t>Nestle</w:t>
      </w:r>
      <w:proofErr w:type="spellEnd"/>
      <w:r w:rsidR="006D0323">
        <w:t xml:space="preserve"> Türkiye Gıda Sanayi A.Ş. tarafından; </w:t>
      </w:r>
      <w:r w:rsidR="006D0323">
        <w:rPr>
          <w:i/>
          <w:iCs/>
        </w:rPr>
        <w:t xml:space="preserve">Türk Gıda Kodeksi Kahve ve Kahve </w:t>
      </w:r>
      <w:proofErr w:type="spellStart"/>
      <w:r w:rsidR="006D0323">
        <w:rPr>
          <w:i/>
          <w:iCs/>
        </w:rPr>
        <w:t>Ekstraktları</w:t>
      </w:r>
      <w:proofErr w:type="spellEnd"/>
      <w:r w:rsidR="006D0323">
        <w:rPr>
          <w:i/>
          <w:iCs/>
        </w:rPr>
        <w:t xml:space="preserve"> Tebliği’</w:t>
      </w:r>
      <w:r w:rsidR="006D0323">
        <w:t xml:space="preserve">nde çözünebilir kahveler için belirlenmiş olan "Suda çözünen külün alkaliliği" ne ilişkin  parametrenin Tebliğ kapsamından çıkarılması talebinin </w:t>
      </w:r>
      <w:proofErr w:type="spellStart"/>
      <w:r w:rsidR="006D0323">
        <w:rPr>
          <w:b/>
          <w:bCs/>
          <w:color w:val="E32400"/>
        </w:rPr>
        <w:t>İAK’da</w:t>
      </w:r>
      <w:proofErr w:type="spellEnd"/>
      <w:r w:rsidR="006D0323">
        <w:rPr>
          <w:b/>
          <w:bCs/>
          <w:color w:val="E32400"/>
        </w:rPr>
        <w:t xml:space="preserve"> görüşülmesine,</w:t>
      </w:r>
    </w:p>
    <w:p w:rsidR="006D0323" w:rsidRDefault="00A252B2" w:rsidP="006D0323">
      <w:pPr>
        <w:pStyle w:val="ListeParagraf"/>
        <w:ind w:left="1068" w:hanging="360"/>
        <w:contextualSpacing/>
        <w:jc w:val="both"/>
      </w:pPr>
      <w:r>
        <w:rPr>
          <w:b/>
          <w:bCs/>
        </w:rPr>
        <w:t>-</w:t>
      </w:r>
      <w:r w:rsidR="006D0323">
        <w:t xml:space="preserve">Enerji içecekleri tebliğinin tanım maddesinin Hukuk Müşavirliğinden gelen görüşün </w:t>
      </w:r>
      <w:r w:rsidR="006D0323">
        <w:rPr>
          <w:b/>
          <w:bCs/>
          <w:color w:val="FF4013"/>
        </w:rPr>
        <w:t>Bakanlık ilgili bir</w:t>
      </w:r>
      <w:r>
        <w:rPr>
          <w:b/>
          <w:bCs/>
          <w:color w:val="FF4013"/>
        </w:rPr>
        <w:t>imlerince yeniden değerlendiril</w:t>
      </w:r>
      <w:r w:rsidR="006D0323">
        <w:rPr>
          <w:b/>
          <w:bCs/>
          <w:color w:val="FF4013"/>
        </w:rPr>
        <w:t>mesine   </w:t>
      </w:r>
    </w:p>
    <w:p w:rsidR="006D0323" w:rsidRDefault="006D0323" w:rsidP="006D0323">
      <w:pPr>
        <w:pStyle w:val="ListeParagraf"/>
        <w:spacing w:before="0" w:beforeAutospacing="0" w:after="0" w:afterAutospacing="0"/>
        <w:ind w:left="1068" w:hanging="360"/>
        <w:contextualSpacing/>
        <w:jc w:val="both"/>
      </w:pPr>
    </w:p>
    <w:p w:rsidR="006D0323" w:rsidRDefault="006D0323" w:rsidP="006D0323">
      <w:pPr>
        <w:pStyle w:val="ListeParagraf"/>
        <w:spacing w:before="0" w:beforeAutospacing="0" w:after="0" w:afterAutospacing="0"/>
        <w:ind w:left="1068" w:hanging="360"/>
        <w:contextualSpacing/>
        <w:jc w:val="both"/>
      </w:pPr>
      <w:r>
        <w:t xml:space="preserve">4. </w:t>
      </w:r>
      <w:proofErr w:type="spellStart"/>
      <w:r>
        <w:t>UGKK’nın</w:t>
      </w:r>
      <w:proofErr w:type="spellEnd"/>
      <w:r>
        <w:t xml:space="preserve"> sadece</w:t>
      </w:r>
      <w:r>
        <w:rPr>
          <w:b/>
          <w:bCs/>
          <w:color w:val="FF4013"/>
        </w:rPr>
        <w:t xml:space="preserve"> </w:t>
      </w:r>
      <w:proofErr w:type="spellStart"/>
      <w:r>
        <w:rPr>
          <w:b/>
          <w:bCs/>
          <w:color w:val="FF4013"/>
        </w:rPr>
        <w:t>İAK’ların</w:t>
      </w:r>
      <w:proofErr w:type="spellEnd"/>
      <w:r>
        <w:rPr>
          <w:b/>
          <w:bCs/>
          <w:color w:val="FF4013"/>
        </w:rPr>
        <w:t xml:space="preserve"> görüşülmesi gündemi ile Ocak ayı içinde tekrar toplanmasına</w:t>
      </w:r>
      <w:r>
        <w:t xml:space="preserve"> karar verilmiştir.</w:t>
      </w:r>
    </w:p>
    <w:p w:rsidR="006D0323" w:rsidRDefault="006D0323" w:rsidP="006D0323">
      <w:pPr>
        <w:ind w:left="708"/>
        <w:jc w:val="both"/>
      </w:pPr>
      <w:r>
        <w:rPr>
          <w:b/>
          <w:bCs/>
        </w:rPr>
        <w:lastRenderedPageBreak/>
        <w:t> </w:t>
      </w:r>
    </w:p>
    <w:p w:rsidR="006D0323" w:rsidRDefault="006D0323" w:rsidP="006D0323">
      <w:pPr>
        <w:ind w:left="708" w:firstLine="12"/>
        <w:jc w:val="both"/>
      </w:pPr>
      <w:r>
        <w:rPr>
          <w:b/>
          <w:bCs/>
        </w:rPr>
        <w:t>   </w:t>
      </w:r>
    </w:p>
    <w:p w:rsidR="006D0323" w:rsidRDefault="006D0323" w:rsidP="006D0323">
      <w:pPr>
        <w:pStyle w:val="ListeParagraf"/>
        <w:spacing w:after="0" w:afterAutospacing="0"/>
        <w:contextualSpacing/>
        <w:jc w:val="both"/>
      </w:pPr>
      <w:r>
        <w:t> </w:t>
      </w:r>
    </w:p>
    <w:p w:rsidR="00511709" w:rsidRDefault="00511709" w:rsidP="006D0323">
      <w:pPr>
        <w:jc w:val="both"/>
      </w:pPr>
    </w:p>
    <w:sectPr w:rsidR="00511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E8"/>
    <w:rsid w:val="00511709"/>
    <w:rsid w:val="005827E8"/>
    <w:rsid w:val="006D0323"/>
    <w:rsid w:val="00A2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29600-3824-4607-B26B-1FE7CFDB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23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0323"/>
    <w:pPr>
      <w:spacing w:before="100" w:beforeAutospacing="1" w:after="100" w:afterAutospacing="1"/>
    </w:pPr>
  </w:style>
  <w:style w:type="character" w:customStyle="1" w:styleId="apple-tab-span">
    <w:name w:val="apple-tab-span"/>
    <w:basedOn w:val="VarsaylanParagrafYazTipi"/>
    <w:rsid w:val="006D0323"/>
  </w:style>
  <w:style w:type="paragraph" w:styleId="BalonMetni">
    <w:name w:val="Balloon Text"/>
    <w:basedOn w:val="Normal"/>
    <w:link w:val="BalonMetniChar"/>
    <w:uiPriority w:val="99"/>
    <w:semiHidden/>
    <w:unhideWhenUsed/>
    <w:rsid w:val="006D032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0323"/>
    <w:rPr>
      <w:rFonts w:ascii="Segoe UI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C7175-2C1E-404F-AF4F-B2CF0A6A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</cp:revision>
  <cp:lastPrinted>2017-01-11T14:04:00Z</cp:lastPrinted>
  <dcterms:created xsi:type="dcterms:W3CDTF">2017-01-11T14:00:00Z</dcterms:created>
  <dcterms:modified xsi:type="dcterms:W3CDTF">2017-01-11T14:22:00Z</dcterms:modified>
</cp:coreProperties>
</file>